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95D" w:rsidRPr="007632BC" w:rsidRDefault="00044CBA">
      <w:pPr>
        <w:spacing w:line="560" w:lineRule="exact"/>
        <w:ind w:firstLineChars="200" w:firstLine="960"/>
        <w:jc w:val="center"/>
        <w:rPr>
          <w:rFonts w:ascii="方正小标宋简体" w:eastAsia="方正小标宋简体" w:hAnsi="方正小标宋简体" w:cs="方正小标宋简体"/>
          <w:sz w:val="48"/>
          <w:szCs w:val="48"/>
        </w:rPr>
      </w:pPr>
      <w:r w:rsidRPr="007632BC">
        <w:rPr>
          <w:rFonts w:ascii="方正小标宋简体" w:eastAsia="方正小标宋简体" w:hAnsi="方正小标宋简体" w:cs="方正小标宋简体" w:hint="eastAsia"/>
          <w:sz w:val="48"/>
          <w:szCs w:val="48"/>
        </w:rPr>
        <w:t>长垣市中心城区道路交叉口“微绿地”设置规定</w:t>
      </w:r>
    </w:p>
    <w:p w:rsidR="008F695D" w:rsidRPr="007632BC" w:rsidRDefault="008F695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仿宋_GB2312" w:eastAsia="仿宋_GB2312" w:hAnsi="仿宋_GB2312" w:cs="仿宋_GB2312" w:hint="eastAsia"/>
          <w:sz w:val="32"/>
          <w:szCs w:val="40"/>
        </w:rPr>
        <w:t>为深入贯彻落实生态文明理念，进一步优化长垣市中心城区城市</w:t>
      </w:r>
      <w:r w:rsidR="00C30173" w:rsidRPr="007632BC">
        <w:rPr>
          <w:rFonts w:ascii="仿宋_GB2312" w:eastAsia="仿宋_GB2312" w:hAnsi="仿宋_GB2312" w:cs="仿宋_GB2312" w:hint="eastAsia"/>
          <w:sz w:val="32"/>
          <w:szCs w:val="40"/>
        </w:rPr>
        <w:t>空间环境，提升道路交叉口景观品质与生态服务功能，充分利用街角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空间为市民提供便捷休闲场所，结合《口袋</w:t>
      </w:r>
      <w:bookmarkStart w:id="0" w:name="_GoBack"/>
      <w:bookmarkEnd w:id="0"/>
      <w:r w:rsidRPr="007632BC">
        <w:rPr>
          <w:rFonts w:ascii="仿宋_GB2312" w:eastAsia="仿宋_GB2312" w:hAnsi="仿宋_GB2312" w:cs="仿宋_GB2312" w:hint="eastAsia"/>
          <w:sz w:val="32"/>
          <w:szCs w:val="40"/>
        </w:rPr>
        <w:t>公园建设指南（试行）》、市规委会《关于整合修订和完善我市历次土地和规划会政策的意见》等政策，制定中心城区道路交叉口“微绿地”（为面积较小的街角公园、口袋公园等）设置规定。</w:t>
      </w:r>
    </w:p>
    <w:p w:rsidR="008F695D" w:rsidRPr="007632BC" w:rsidRDefault="00044CBA">
      <w:pPr>
        <w:numPr>
          <w:ilvl w:val="0"/>
          <w:numId w:val="1"/>
        </w:numPr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40"/>
        </w:rPr>
      </w:pPr>
      <w:r w:rsidRPr="007632BC">
        <w:rPr>
          <w:rFonts w:ascii="黑体" w:eastAsia="黑体" w:hAnsi="黑体" w:cs="黑体" w:hint="eastAsia"/>
          <w:b/>
          <w:bCs/>
          <w:sz w:val="32"/>
          <w:szCs w:val="40"/>
        </w:rPr>
        <w:t>适用范围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caps/>
          <w:sz w:val="32"/>
          <w:szCs w:val="40"/>
        </w:rPr>
      </w:pPr>
      <w:r w:rsidRPr="007632BC">
        <w:rPr>
          <w:rFonts w:ascii="仿宋_GB2312" w:eastAsia="仿宋_GB2312" w:hAnsi="仿宋_GB2312" w:cs="仿宋_GB2312" w:hint="eastAsia"/>
          <w:sz w:val="32"/>
          <w:szCs w:val="40"/>
        </w:rPr>
        <w:t>本规定适用于</w:t>
      </w:r>
      <w:r w:rsidR="00314FF0" w:rsidRPr="007632BC">
        <w:rPr>
          <w:rFonts w:ascii="仿宋_GB2312" w:eastAsia="仿宋_GB2312" w:hAnsi="仿宋_GB2312" w:cs="仿宋_GB2312" w:hint="eastAsia"/>
          <w:sz w:val="32"/>
          <w:szCs w:val="40"/>
        </w:rPr>
        <w:t>我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市中心城区</w:t>
      </w:r>
      <w:r w:rsidR="00062C4E" w:rsidRPr="007632BC">
        <w:rPr>
          <w:rFonts w:ascii="仿宋_GB2312" w:eastAsia="仿宋_GB2312" w:hAnsi="仿宋_GB2312" w:cs="仿宋_GB2312" w:hint="eastAsia"/>
          <w:sz w:val="32"/>
          <w:szCs w:val="40"/>
        </w:rPr>
        <w:t>城市主干路与主干路交叉口、主干路与次干路交叉口周边拟出让的居住用地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。</w:t>
      </w:r>
      <w:r w:rsidR="00C528D3" w:rsidRPr="007632BC">
        <w:rPr>
          <w:rFonts w:ascii="仿宋_GB2312" w:eastAsia="仿宋_GB2312" w:hAnsi="仿宋_GB2312" w:cs="仿宋_GB2312" w:hint="eastAsia"/>
          <w:sz w:val="32"/>
          <w:szCs w:val="40"/>
        </w:rPr>
        <w:t>主</w:t>
      </w:r>
      <w:r w:rsidR="00314FF0" w:rsidRPr="007632BC">
        <w:rPr>
          <w:rFonts w:ascii="仿宋_GB2312" w:eastAsia="仿宋_GB2312" w:hAnsi="仿宋_GB2312" w:cs="仿宋_GB2312" w:hint="eastAsia"/>
          <w:sz w:val="32"/>
          <w:szCs w:val="40"/>
        </w:rPr>
        <w:t>干路、</w:t>
      </w:r>
      <w:r w:rsidR="00C528D3" w:rsidRPr="007632BC">
        <w:rPr>
          <w:rFonts w:ascii="仿宋_GB2312" w:eastAsia="仿宋_GB2312" w:hAnsi="仿宋_GB2312" w:cs="仿宋_GB2312" w:hint="eastAsia"/>
          <w:sz w:val="32"/>
          <w:szCs w:val="40"/>
        </w:rPr>
        <w:t>次干路是指道路红线宽度20米以上的</w:t>
      </w:r>
      <w:r w:rsidR="0018649D" w:rsidRPr="007632BC">
        <w:rPr>
          <w:rFonts w:ascii="仿宋_GB2312" w:eastAsia="仿宋_GB2312" w:hAnsi="仿宋_GB2312" w:cs="仿宋_GB2312" w:hint="eastAsia"/>
          <w:sz w:val="32"/>
          <w:szCs w:val="40"/>
        </w:rPr>
        <w:t>城市</w:t>
      </w:r>
      <w:r w:rsidR="00C528D3" w:rsidRPr="007632BC">
        <w:rPr>
          <w:rFonts w:ascii="仿宋_GB2312" w:eastAsia="仿宋_GB2312" w:hAnsi="仿宋_GB2312" w:cs="仿宋_GB2312" w:hint="eastAsia"/>
          <w:sz w:val="32"/>
          <w:szCs w:val="40"/>
        </w:rPr>
        <w:t>道路。</w:t>
      </w:r>
    </w:p>
    <w:p w:rsidR="008F695D" w:rsidRPr="007632BC" w:rsidRDefault="00044CBA">
      <w:pPr>
        <w:numPr>
          <w:ilvl w:val="0"/>
          <w:numId w:val="1"/>
        </w:numPr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40"/>
        </w:rPr>
      </w:pPr>
      <w:r w:rsidRPr="007632BC">
        <w:rPr>
          <w:rFonts w:ascii="黑体" w:eastAsia="黑体" w:hAnsi="黑体" w:cs="黑体" w:hint="eastAsia"/>
          <w:b/>
          <w:bCs/>
          <w:sz w:val="32"/>
          <w:szCs w:val="40"/>
        </w:rPr>
        <w:t>设置原则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（一）生态优先，便民惠民</w:t>
      </w:r>
      <w:r w:rsidRPr="007632BC">
        <w:rPr>
          <w:rFonts w:ascii="仿宋_GB2312" w:eastAsia="仿宋_GB2312" w:hAnsi="仿宋_GB2312" w:cs="仿宋_GB2312" w:hint="eastAsia"/>
          <w:b/>
          <w:bCs/>
          <w:sz w:val="32"/>
          <w:szCs w:val="40"/>
        </w:rPr>
        <w:t>。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以提升城市生态环境质量为核心，优先选用乡土、适生植物，构建稳定的植物群落；聚焦市民实际需求，确保“微绿地”服务半径覆盖周边300米范围内居民、商户及过往行人，为其提供休憩、遮荫、临时停留的舒适空间。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（二）安全有序，协调统一。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严格规避道路交叉口交通视距三角形范围内的遮挡物，保障车辆、行人通行安全；“微绿地”的风格、尺度、色彩需与周边建筑风貌、道路景观及城市整体规划相协调，形成和谐统一的城市界面。</w:t>
      </w:r>
    </w:p>
    <w:p w:rsidR="008F695D" w:rsidRPr="007632BC" w:rsidRDefault="00314FF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（三</w:t>
      </w:r>
      <w:r w:rsidR="00044CBA"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）彰显特色，文脉传承。</w:t>
      </w:r>
      <w:r w:rsidR="00044CBA" w:rsidRPr="007632BC">
        <w:rPr>
          <w:rFonts w:ascii="仿宋_GB2312" w:eastAsia="仿宋_GB2312" w:hAnsi="仿宋_GB2312" w:cs="仿宋_GB2312" w:hint="eastAsia"/>
          <w:sz w:val="32"/>
          <w:szCs w:val="40"/>
        </w:rPr>
        <w:t>结合长垣市“君子文化”“黄河文化”“烹饪之乡”“起重机械之都”“医疗耗材之都”等地域文化特色，将文化元素融入“微绿地”设计，通过植物配置、</w:t>
      </w:r>
      <w:r w:rsidR="00044CBA" w:rsidRPr="007632BC">
        <w:rPr>
          <w:rFonts w:ascii="仿宋_GB2312" w:eastAsia="仿宋_GB2312" w:hAnsi="仿宋_GB2312" w:cs="仿宋_GB2312" w:hint="eastAsia"/>
          <w:sz w:val="32"/>
          <w:szCs w:val="40"/>
        </w:rPr>
        <w:lastRenderedPageBreak/>
        <w:t>小品雕塑、铺装纹样等载体展现城市底蕴，增强市民场所认同感。</w:t>
      </w:r>
    </w:p>
    <w:p w:rsidR="008F695D" w:rsidRPr="007632BC" w:rsidRDefault="00044CBA">
      <w:pPr>
        <w:numPr>
          <w:ilvl w:val="0"/>
          <w:numId w:val="1"/>
        </w:numPr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40"/>
        </w:rPr>
      </w:pPr>
      <w:r w:rsidRPr="007632BC">
        <w:rPr>
          <w:rFonts w:ascii="黑体" w:eastAsia="黑体" w:hAnsi="黑体" w:cs="黑体" w:hint="eastAsia"/>
          <w:b/>
          <w:bCs/>
          <w:sz w:val="32"/>
          <w:szCs w:val="40"/>
        </w:rPr>
        <w:t>布局要求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（一）选址要求。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优先选址在公园绿地服务半径不足、人口密度较高、商业氛围浓厚的道路交叉口，如老城区核心商圈、新建居住区周边、学校医院附近等区域，最大化服务市民需求。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（二）规模要求。</w:t>
      </w:r>
      <w:r w:rsidR="005B569A" w:rsidRPr="007632BC">
        <w:rPr>
          <w:rFonts w:ascii="仿宋_GB2312" w:eastAsia="仿宋_GB2312" w:hAnsi="仿宋_GB2312" w:cs="仿宋_GB2312" w:hint="eastAsia"/>
          <w:sz w:val="32"/>
          <w:szCs w:val="40"/>
        </w:rPr>
        <w:t>单个“微绿地”面积原则上不低于0.6亩（</w:t>
      </w:r>
      <w:r w:rsidR="005B569A" w:rsidRPr="007632BC">
        <w:rPr>
          <w:rFonts w:ascii="仿宋_GB2312" w:eastAsia="仿宋_GB2312" w:hAnsi="仿宋_GB2312" w:cs="仿宋_GB2312" w:hint="eastAsia"/>
          <w:sz w:val="24"/>
        </w:rPr>
        <w:t>《口袋公园建设指南（试行）》规定的“微绿地”建设规模为0.6-15亩)</w:t>
      </w:r>
      <w:r w:rsidR="005B569A" w:rsidRPr="007632BC">
        <w:rPr>
          <w:rFonts w:ascii="仿宋_GB2312" w:eastAsia="仿宋_GB2312" w:hAnsi="仿宋_GB2312" w:cs="仿宋_GB2312" w:hint="eastAsia"/>
          <w:sz w:val="32"/>
          <w:szCs w:val="40"/>
        </w:rPr>
        <w:t>,且</w:t>
      </w:r>
      <w:r w:rsidR="00FC30B0" w:rsidRPr="007632BC">
        <w:rPr>
          <w:rFonts w:ascii="仿宋_GB2312" w:eastAsia="仿宋_GB2312" w:hAnsi="仿宋_GB2312" w:cs="仿宋_GB2312" w:hint="eastAsia"/>
          <w:sz w:val="32"/>
          <w:szCs w:val="40"/>
        </w:rPr>
        <w:t>每宗地配建</w:t>
      </w:r>
      <w:bookmarkStart w:id="1" w:name="OLE_LINK1"/>
      <w:bookmarkStart w:id="2" w:name="OLE_LINK2"/>
      <w:r w:rsidR="00FC30B0" w:rsidRPr="007632BC">
        <w:rPr>
          <w:rFonts w:ascii="仿宋_GB2312" w:eastAsia="仿宋_GB2312" w:hAnsi="仿宋_GB2312" w:cs="仿宋_GB2312" w:hint="eastAsia"/>
          <w:sz w:val="32"/>
          <w:szCs w:val="40"/>
        </w:rPr>
        <w:t>“微绿地”</w:t>
      </w:r>
      <w:bookmarkEnd w:id="1"/>
      <w:bookmarkEnd w:id="2"/>
      <w:r w:rsidR="00FC30B0" w:rsidRPr="007632BC">
        <w:rPr>
          <w:rFonts w:ascii="仿宋_GB2312" w:eastAsia="仿宋_GB2312" w:hAnsi="仿宋_GB2312" w:cs="仿宋_GB2312" w:hint="eastAsia"/>
          <w:sz w:val="32"/>
          <w:szCs w:val="40"/>
        </w:rPr>
        <w:t>总规模控制原则上不低于土地出让面积的8%</w:t>
      </w:r>
      <w:r w:rsidR="00FC30B0" w:rsidRPr="007632BC">
        <w:rPr>
          <w:rFonts w:ascii="仿宋_GB2312" w:eastAsia="仿宋_GB2312" w:hAnsi="仿宋_GB2312" w:cs="仿宋_GB2312" w:hint="eastAsia"/>
          <w:sz w:val="24"/>
        </w:rPr>
        <w:t>（</w:t>
      </w:r>
      <w:r w:rsidR="00152946" w:rsidRPr="007632BC">
        <w:rPr>
          <w:rFonts w:ascii="仿宋_GB2312" w:eastAsia="仿宋_GB2312" w:hAnsi="仿宋_GB2312" w:cs="仿宋_GB2312" w:hint="eastAsia"/>
          <w:sz w:val="24"/>
        </w:rPr>
        <w:t>若</w:t>
      </w:r>
      <w:r w:rsidR="00FC30B0" w:rsidRPr="007632BC">
        <w:rPr>
          <w:rFonts w:ascii="仿宋_GB2312" w:eastAsia="仿宋_GB2312" w:hAnsi="仿宋_GB2312" w:cs="仿宋_GB2312" w:hint="eastAsia"/>
          <w:sz w:val="24"/>
        </w:rPr>
        <w:t>整地块容积率</w:t>
      </w:r>
      <w:r w:rsidR="005B569A" w:rsidRPr="007632BC">
        <w:rPr>
          <w:rFonts w:ascii="仿宋_GB2312" w:eastAsia="仿宋_GB2312" w:hAnsi="仿宋_GB2312" w:cs="仿宋_GB2312" w:hint="eastAsia"/>
          <w:sz w:val="24"/>
        </w:rPr>
        <w:t>为</w:t>
      </w:r>
      <w:r w:rsidR="00FC30B0" w:rsidRPr="007632BC">
        <w:rPr>
          <w:rFonts w:ascii="仿宋_GB2312" w:eastAsia="仿宋_GB2312" w:hAnsi="仿宋_GB2312" w:cs="仿宋_GB2312" w:hint="eastAsia"/>
          <w:sz w:val="24"/>
        </w:rPr>
        <w:t>1.8，则扣除绿地</w:t>
      </w:r>
      <w:r w:rsidR="005B569A" w:rsidRPr="007632BC">
        <w:rPr>
          <w:rFonts w:ascii="仿宋_GB2312" w:eastAsia="仿宋_GB2312" w:hAnsi="仿宋_GB2312" w:cs="仿宋_GB2312" w:hint="eastAsia"/>
          <w:sz w:val="24"/>
        </w:rPr>
        <w:t>后</w:t>
      </w:r>
      <w:r w:rsidR="00FC30B0" w:rsidRPr="007632BC">
        <w:rPr>
          <w:rFonts w:ascii="仿宋_GB2312" w:eastAsia="仿宋_GB2312" w:hAnsi="仿宋_GB2312" w:cs="仿宋_GB2312" w:hint="eastAsia"/>
          <w:sz w:val="24"/>
        </w:rPr>
        <w:t>小区内实际容积率折合1.95）</w:t>
      </w:r>
      <w:r w:rsidR="00C548B4" w:rsidRPr="007632BC">
        <w:rPr>
          <w:rFonts w:ascii="仿宋_GB2312" w:eastAsia="仿宋_GB2312" w:hAnsi="仿宋_GB2312" w:cs="仿宋_GB2312" w:hint="eastAsia"/>
          <w:sz w:val="32"/>
          <w:szCs w:val="40"/>
        </w:rPr>
        <w:t>。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出让规模小于30亩的应设置小型“微绿地”，出让规模30-75亩的应设置中型“微绿地”，出让规模75-105亩</w:t>
      </w:r>
      <w:r w:rsidRPr="007632BC">
        <w:rPr>
          <w:rFonts w:ascii="仿宋_GB2312" w:eastAsia="仿宋_GB2312" w:hAnsi="仿宋_GB2312" w:cs="仿宋_GB2312" w:hint="eastAsia"/>
          <w:sz w:val="24"/>
        </w:rPr>
        <w:t>(105亩是国家规定的单宗居住用地出让最大面积)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的应设置大型“微绿地”（详见下表）。</w:t>
      </w:r>
    </w:p>
    <w:tbl>
      <w:tblPr>
        <w:tblStyle w:val="a5"/>
        <w:tblW w:w="4997" w:type="pct"/>
        <w:jc w:val="center"/>
        <w:tblLook w:val="04A0"/>
      </w:tblPr>
      <w:tblGrid>
        <w:gridCol w:w="1242"/>
        <w:gridCol w:w="2266"/>
        <w:gridCol w:w="3968"/>
        <w:gridCol w:w="1804"/>
      </w:tblGrid>
      <w:tr w:rsidR="008F695D" w:rsidRPr="007632BC">
        <w:trPr>
          <w:trHeight w:val="680"/>
          <w:jc w:val="center"/>
        </w:trPr>
        <w:tc>
          <w:tcPr>
            <w:tcW w:w="669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规模分类</w:t>
            </w:r>
          </w:p>
        </w:tc>
        <w:tc>
          <w:tcPr>
            <w:tcW w:w="1221" w:type="pct"/>
            <w:shd w:val="clear" w:color="auto" w:fill="auto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居住用地出让规模</w:t>
            </w:r>
          </w:p>
        </w:tc>
        <w:tc>
          <w:tcPr>
            <w:tcW w:w="2138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“微绿地”面积规模</w:t>
            </w:r>
          </w:p>
        </w:tc>
        <w:tc>
          <w:tcPr>
            <w:tcW w:w="972" w:type="pct"/>
            <w:vAlign w:val="center"/>
          </w:tcPr>
          <w:p w:rsidR="008F695D" w:rsidRPr="007632BC" w:rsidRDefault="00044CBA" w:rsidP="0054057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绿化</w:t>
            </w:r>
            <w:r w:rsidR="0054057B" w:rsidRPr="007632BC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用地比例</w:t>
            </w:r>
          </w:p>
        </w:tc>
      </w:tr>
      <w:tr w:rsidR="008F695D" w:rsidRPr="007632BC">
        <w:trPr>
          <w:trHeight w:val="680"/>
          <w:jc w:val="center"/>
        </w:trPr>
        <w:tc>
          <w:tcPr>
            <w:tcW w:w="669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小型</w:t>
            </w:r>
          </w:p>
        </w:tc>
        <w:tc>
          <w:tcPr>
            <w:tcW w:w="1221" w:type="pct"/>
            <w:shd w:val="clear" w:color="auto" w:fill="auto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小于30亩</w:t>
            </w:r>
          </w:p>
        </w:tc>
        <w:tc>
          <w:tcPr>
            <w:tcW w:w="2138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400—2000（含）㎡（0.6-3亩）</w:t>
            </w:r>
          </w:p>
        </w:tc>
        <w:tc>
          <w:tcPr>
            <w:tcW w:w="972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＞35%</w:t>
            </w:r>
          </w:p>
        </w:tc>
      </w:tr>
      <w:tr w:rsidR="008F695D" w:rsidRPr="007632BC">
        <w:trPr>
          <w:trHeight w:val="680"/>
          <w:jc w:val="center"/>
        </w:trPr>
        <w:tc>
          <w:tcPr>
            <w:tcW w:w="669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中型</w:t>
            </w:r>
          </w:p>
        </w:tc>
        <w:tc>
          <w:tcPr>
            <w:tcW w:w="1221" w:type="pct"/>
            <w:shd w:val="clear" w:color="auto" w:fill="auto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30-75亩</w:t>
            </w:r>
          </w:p>
        </w:tc>
        <w:tc>
          <w:tcPr>
            <w:tcW w:w="2138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2000—4000（含）</w:t>
            </w:r>
            <w:r w:rsidRPr="007632BC">
              <w:rPr>
                <w:rFonts w:ascii="宋体" w:eastAsia="宋体" w:hAnsi="宋体" w:cs="宋体" w:hint="eastAsia"/>
                <w:sz w:val="24"/>
              </w:rPr>
              <w:t>㎡</w:t>
            </w: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(3-6亩)</w:t>
            </w:r>
          </w:p>
        </w:tc>
        <w:tc>
          <w:tcPr>
            <w:tcW w:w="972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≥50%</w:t>
            </w:r>
          </w:p>
        </w:tc>
      </w:tr>
      <w:tr w:rsidR="008F695D" w:rsidRPr="007632BC">
        <w:trPr>
          <w:trHeight w:val="680"/>
          <w:jc w:val="center"/>
        </w:trPr>
        <w:tc>
          <w:tcPr>
            <w:tcW w:w="669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大型</w:t>
            </w:r>
          </w:p>
        </w:tc>
        <w:tc>
          <w:tcPr>
            <w:tcW w:w="1221" w:type="pct"/>
            <w:shd w:val="clear" w:color="auto" w:fill="auto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75-105亩</w:t>
            </w:r>
          </w:p>
        </w:tc>
        <w:tc>
          <w:tcPr>
            <w:tcW w:w="2138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4000—5600（含）</w:t>
            </w:r>
            <w:r w:rsidRPr="007632BC">
              <w:rPr>
                <w:rFonts w:ascii="宋体" w:eastAsia="宋体" w:hAnsi="宋体" w:cs="宋体" w:hint="eastAsia"/>
                <w:sz w:val="24"/>
              </w:rPr>
              <w:t>㎡</w:t>
            </w: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(6-8.4亩)</w:t>
            </w:r>
          </w:p>
        </w:tc>
        <w:tc>
          <w:tcPr>
            <w:tcW w:w="972" w:type="pct"/>
            <w:vAlign w:val="center"/>
          </w:tcPr>
          <w:p w:rsidR="008F695D" w:rsidRPr="007632BC" w:rsidRDefault="00044CBA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7632BC">
              <w:rPr>
                <w:rFonts w:ascii="仿宋_GB2312" w:eastAsia="仿宋_GB2312" w:hAnsi="仿宋_GB2312" w:cs="仿宋_GB2312" w:hint="eastAsia"/>
                <w:sz w:val="24"/>
              </w:rPr>
              <w:t>≥65%</w:t>
            </w:r>
          </w:p>
        </w:tc>
      </w:tr>
    </w:tbl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7632BC">
        <w:rPr>
          <w:rFonts w:ascii="楷体_GB2312" w:eastAsia="楷体_GB2312" w:hAnsi="仿宋_GB2312" w:cs="仿宋_GB2312" w:hint="eastAsia"/>
          <w:bCs/>
          <w:sz w:val="32"/>
          <w:szCs w:val="40"/>
        </w:rPr>
        <w:t>（三）功能要求。</w:t>
      </w:r>
      <w:r w:rsidRPr="007632BC">
        <w:rPr>
          <w:rFonts w:ascii="仿宋_GB2312" w:eastAsia="仿宋_GB2312" w:hAnsi="宋体" w:cs="仿宋_GB2312"/>
          <w:sz w:val="32"/>
          <w:szCs w:val="32"/>
        </w:rPr>
        <w:t>主要包括休闲游憩、儿童游戏、运动健身、文化展示、科普教育等，应结合周边群众需要合理设置，满足生态、景观、文化、健康、教育等方面需求；宜结合</w:t>
      </w:r>
      <w:r w:rsidRPr="007632BC">
        <w:rPr>
          <w:rFonts w:ascii="仿宋_GB2312" w:eastAsia="仿宋_GB2312" w:hAnsi="宋体" w:cs="仿宋_GB2312" w:hint="eastAsia"/>
          <w:sz w:val="32"/>
          <w:szCs w:val="32"/>
        </w:rPr>
        <w:t>长垣市历史文化、产业文化等</w:t>
      </w:r>
      <w:r w:rsidRPr="007632BC">
        <w:rPr>
          <w:rFonts w:ascii="仿宋_GB2312" w:eastAsia="仿宋_GB2312" w:hAnsi="宋体" w:cs="仿宋_GB2312"/>
          <w:sz w:val="32"/>
          <w:szCs w:val="32"/>
        </w:rPr>
        <w:t>设置相应主题，</w:t>
      </w:r>
      <w:r w:rsidRPr="007632BC">
        <w:rPr>
          <w:rFonts w:ascii="仿宋_GB2312" w:eastAsia="仿宋_GB2312" w:hAnsi="宋体" w:cs="仿宋_GB2312" w:hint="eastAsia"/>
          <w:sz w:val="32"/>
          <w:szCs w:val="32"/>
        </w:rPr>
        <w:t>应注重保障老人、儿童、残障人士等安全游园。</w:t>
      </w:r>
    </w:p>
    <w:p w:rsidR="00FC30B0" w:rsidRPr="007632BC" w:rsidRDefault="008E6B84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7632BC">
        <w:rPr>
          <w:rFonts w:ascii="仿宋_GB2312" w:eastAsia="仿宋_GB2312" w:hAnsi="宋体" w:cs="仿宋_GB2312" w:hint="eastAsia"/>
          <w:sz w:val="32"/>
          <w:szCs w:val="32"/>
        </w:rPr>
        <w:t>每块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“微绿地”所处路口无公厕的，要建设</w:t>
      </w:r>
      <w:r w:rsidR="006162D8" w:rsidRPr="007632BC">
        <w:rPr>
          <w:rFonts w:ascii="仿宋_GB2312" w:eastAsia="仿宋_GB2312" w:hAnsi="仿宋_GB2312" w:cs="仿宋_GB2312" w:hint="eastAsia"/>
          <w:sz w:val="32"/>
          <w:szCs w:val="40"/>
        </w:rPr>
        <w:t>占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地面积不小于60平方米的独立式公厕，同时附设不小于15平方米的环卫工人作息房。沿路公</w:t>
      </w:r>
      <w:r w:rsidR="005B569A" w:rsidRPr="007632BC">
        <w:rPr>
          <w:rFonts w:ascii="仿宋_GB2312" w:eastAsia="仿宋_GB2312" w:hAnsi="仿宋_GB2312" w:cs="仿宋_GB2312" w:hint="eastAsia"/>
          <w:sz w:val="32"/>
          <w:szCs w:val="40"/>
        </w:rPr>
        <w:t>厕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原则上按约500米/座设置</w:t>
      </w:r>
      <w:r w:rsidR="00152946" w:rsidRPr="007632BC">
        <w:rPr>
          <w:rFonts w:ascii="仿宋_GB2312" w:eastAsia="仿宋_GB2312" w:hAnsi="仿宋_GB2312" w:cs="仿宋_GB2312" w:hint="eastAsia"/>
          <w:sz w:val="24"/>
        </w:rPr>
        <w:t>(</w:t>
      </w:r>
      <w:r w:rsidR="007632BC" w:rsidRPr="007632BC">
        <w:rPr>
          <w:rFonts w:ascii="仿宋_GB2312" w:eastAsia="仿宋_GB2312" w:hAnsi="仿宋_GB2312" w:cs="仿宋_GB2312" w:hint="eastAsia"/>
          <w:sz w:val="24"/>
        </w:rPr>
        <w:t>参照</w:t>
      </w:r>
      <w:r w:rsidR="00152946" w:rsidRPr="007632BC">
        <w:rPr>
          <w:rFonts w:ascii="仿宋_GB2312" w:eastAsia="仿宋_GB2312" w:hAnsi="仿宋_GB2312" w:cs="仿宋_GB2312" w:hint="eastAsia"/>
          <w:sz w:val="24"/>
        </w:rPr>
        <w:t>《</w:t>
      </w:r>
      <w:r w:rsidR="00D44E0F" w:rsidRPr="00D44E0F">
        <w:rPr>
          <w:rFonts w:ascii="仿宋_GB2312" w:eastAsia="仿宋_GB2312" w:hAnsi="仿宋_GB2312" w:cs="仿宋_GB2312" w:hint="eastAsia"/>
          <w:sz w:val="24"/>
        </w:rPr>
        <w:t>城市环境卫生设施规划</w:t>
      </w:r>
      <w:r w:rsidR="00D44E0F" w:rsidRPr="00D44E0F">
        <w:rPr>
          <w:rFonts w:ascii="仿宋_GB2312" w:eastAsia="仿宋_GB2312" w:hAnsi="仿宋_GB2312" w:cs="仿宋_GB2312" w:hint="eastAsia"/>
          <w:sz w:val="24"/>
        </w:rPr>
        <w:lastRenderedPageBreak/>
        <w:t>标准</w:t>
      </w:r>
      <w:r w:rsidR="00152946" w:rsidRPr="007632BC">
        <w:rPr>
          <w:rFonts w:ascii="仿宋_GB2312" w:eastAsia="仿宋_GB2312" w:hAnsi="仿宋_GB2312" w:cs="仿宋_GB2312" w:hint="eastAsia"/>
          <w:sz w:val="24"/>
        </w:rPr>
        <w:t>》</w:t>
      </w:r>
      <w:r w:rsidR="007632BC" w:rsidRPr="007632BC">
        <w:rPr>
          <w:rFonts w:ascii="仿宋_GB2312" w:eastAsia="仿宋_GB2312" w:hAnsi="仿宋_GB2312" w:cs="仿宋_GB2312" w:hint="eastAsia"/>
          <w:sz w:val="24"/>
        </w:rPr>
        <w:t>、《郑州市城市规划管理规定》等政策制订)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。具体</w:t>
      </w:r>
      <w:r w:rsidR="005B569A" w:rsidRPr="007632BC">
        <w:rPr>
          <w:rFonts w:ascii="仿宋_GB2312" w:eastAsia="仿宋_GB2312" w:hAnsi="仿宋_GB2312" w:cs="仿宋_GB2312" w:hint="eastAsia"/>
          <w:sz w:val="32"/>
          <w:szCs w:val="40"/>
        </w:rPr>
        <w:t>设置要求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由资源规划部门在</w:t>
      </w:r>
      <w:r w:rsidR="005B569A" w:rsidRPr="007632BC">
        <w:rPr>
          <w:rFonts w:ascii="仿宋_GB2312" w:eastAsia="仿宋_GB2312" w:hAnsi="仿宋_GB2312" w:cs="仿宋_GB2312" w:hint="eastAsia"/>
          <w:sz w:val="32"/>
          <w:szCs w:val="40"/>
        </w:rPr>
        <w:t>出让土地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时予以明确。</w:t>
      </w:r>
    </w:p>
    <w:p w:rsidR="008F695D" w:rsidRPr="007632BC" w:rsidRDefault="00044CBA">
      <w:pPr>
        <w:numPr>
          <w:ilvl w:val="0"/>
          <w:numId w:val="1"/>
        </w:numPr>
        <w:spacing w:line="560" w:lineRule="exact"/>
        <w:ind w:firstLineChars="200" w:firstLine="643"/>
        <w:rPr>
          <w:rFonts w:ascii="黑体" w:eastAsia="黑体" w:hAnsi="黑体" w:cs="黑体"/>
          <w:b/>
          <w:bCs/>
          <w:sz w:val="32"/>
          <w:szCs w:val="40"/>
        </w:rPr>
      </w:pPr>
      <w:r w:rsidRPr="007632BC">
        <w:rPr>
          <w:rFonts w:ascii="黑体" w:eastAsia="黑体" w:hAnsi="黑体" w:cs="黑体" w:hint="eastAsia"/>
          <w:b/>
          <w:bCs/>
          <w:sz w:val="32"/>
          <w:szCs w:val="40"/>
        </w:rPr>
        <w:t>建设管理</w:t>
      </w:r>
    </w:p>
    <w:p w:rsidR="008F695D" w:rsidRPr="007632BC" w:rsidRDefault="00044CBA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7632BC">
        <w:rPr>
          <w:rFonts w:ascii="仿宋_GB2312" w:eastAsia="仿宋_GB2312" w:hAnsi="仿宋_GB2312" w:cs="仿宋_GB2312" w:hint="eastAsia"/>
          <w:sz w:val="32"/>
          <w:szCs w:val="40"/>
        </w:rPr>
        <w:t>原则上将</w:t>
      </w:r>
      <w:r w:rsidRPr="007632BC">
        <w:rPr>
          <w:rFonts w:ascii="仿宋_GB2312" w:eastAsia="仿宋_GB2312" w:hAnsi="仿宋_GB2312" w:cs="仿宋_GB2312"/>
          <w:sz w:val="32"/>
          <w:szCs w:val="40"/>
        </w:rPr>
        <w:t>“微绿地”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一并出让给相邻地块的开发单位，并在土地出让条件中明确</w:t>
      </w:r>
      <w:r w:rsidRPr="007632BC">
        <w:rPr>
          <w:rFonts w:ascii="仿宋_GB2312" w:eastAsia="仿宋_GB2312" w:hAnsi="仿宋_GB2312" w:cs="仿宋_GB2312"/>
          <w:sz w:val="32"/>
          <w:szCs w:val="40"/>
        </w:rPr>
        <w:t>建设</w:t>
      </w:r>
      <w:r w:rsidRPr="007632BC">
        <w:rPr>
          <w:rFonts w:ascii="仿宋_GB2312" w:eastAsia="仿宋_GB2312" w:hAnsi="仿宋_GB2312" w:cs="仿宋_GB2312" w:hint="eastAsia"/>
          <w:sz w:val="32"/>
          <w:szCs w:val="40"/>
        </w:rPr>
        <w:t>具体要求。开发单位取</w:t>
      </w:r>
      <w:r w:rsidRPr="007632BC">
        <w:rPr>
          <w:rFonts w:ascii="仿宋_GB2312" w:eastAsia="仿宋_GB2312" w:hAnsi="宋体" w:cs="仿宋_GB2312" w:hint="eastAsia"/>
          <w:sz w:val="32"/>
          <w:szCs w:val="32"/>
        </w:rPr>
        <w:t>得土地后，</w:t>
      </w:r>
      <w:r w:rsidRPr="007632BC">
        <w:rPr>
          <w:rFonts w:ascii="仿宋_GB2312" w:eastAsia="仿宋_GB2312" w:hAnsi="宋体" w:cs="仿宋_GB2312"/>
          <w:sz w:val="32"/>
          <w:szCs w:val="32"/>
        </w:rPr>
        <w:t>同步规划</w:t>
      </w:r>
      <w:r w:rsidR="005B569A" w:rsidRPr="007632BC">
        <w:rPr>
          <w:rFonts w:ascii="仿宋_GB2312" w:eastAsia="仿宋_GB2312" w:hAnsi="宋体" w:cs="仿宋_GB2312"/>
          <w:sz w:val="32"/>
          <w:szCs w:val="32"/>
        </w:rPr>
        <w:t>设计</w:t>
      </w:r>
      <w:r w:rsidR="005B569A" w:rsidRPr="007632BC">
        <w:rPr>
          <w:rFonts w:ascii="仿宋_GB2312" w:eastAsia="仿宋_GB2312" w:hAnsi="宋体" w:cs="仿宋_GB2312" w:hint="eastAsia"/>
          <w:sz w:val="32"/>
          <w:szCs w:val="32"/>
        </w:rPr>
        <w:t>、</w:t>
      </w:r>
      <w:r w:rsidRPr="007632BC">
        <w:rPr>
          <w:rFonts w:ascii="仿宋_GB2312" w:eastAsia="仿宋_GB2312" w:hAnsi="宋体" w:cs="仿宋_GB2312"/>
          <w:sz w:val="32"/>
          <w:szCs w:val="32"/>
        </w:rPr>
        <w:t>同步施工</w:t>
      </w:r>
      <w:r w:rsidR="005B569A" w:rsidRPr="007632BC">
        <w:rPr>
          <w:rFonts w:ascii="仿宋_GB2312" w:eastAsia="仿宋_GB2312" w:hAnsi="宋体" w:cs="仿宋_GB2312" w:hint="eastAsia"/>
          <w:sz w:val="32"/>
          <w:szCs w:val="32"/>
        </w:rPr>
        <w:t>建设</w:t>
      </w:r>
      <w:r w:rsidRPr="007632BC">
        <w:rPr>
          <w:rFonts w:ascii="仿宋_GB2312" w:eastAsia="仿宋_GB2312" w:hAnsi="宋体" w:cs="仿宋_GB2312"/>
          <w:sz w:val="32"/>
          <w:szCs w:val="32"/>
        </w:rPr>
        <w:t>、同步</w:t>
      </w:r>
      <w:r w:rsidR="008E6B84" w:rsidRPr="007632BC">
        <w:rPr>
          <w:rFonts w:ascii="仿宋_GB2312" w:eastAsia="仿宋_GB2312" w:hAnsi="宋体" w:cs="仿宋_GB2312" w:hint="eastAsia"/>
          <w:sz w:val="32"/>
          <w:szCs w:val="32"/>
        </w:rPr>
        <w:t>规划核实，同步竣工</w:t>
      </w:r>
      <w:r w:rsidRPr="007632BC">
        <w:rPr>
          <w:rFonts w:ascii="仿宋_GB2312" w:eastAsia="仿宋_GB2312" w:hAnsi="宋体" w:cs="仿宋_GB2312"/>
          <w:sz w:val="32"/>
          <w:szCs w:val="32"/>
        </w:rPr>
        <w:t>验收</w:t>
      </w:r>
      <w:r w:rsidR="008E6B84" w:rsidRPr="007632BC">
        <w:rPr>
          <w:rFonts w:ascii="仿宋_GB2312" w:eastAsia="仿宋_GB2312" w:hAnsi="宋体" w:cs="仿宋_GB2312" w:hint="eastAsia"/>
          <w:sz w:val="32"/>
          <w:szCs w:val="32"/>
        </w:rPr>
        <w:t>。建成后移交城市管理部门。</w:t>
      </w:r>
      <w:r w:rsidRPr="007632BC">
        <w:rPr>
          <w:rFonts w:ascii="仿宋_GB2312" w:eastAsia="仿宋_GB2312" w:hAnsi="宋体" w:cs="仿宋_GB2312"/>
          <w:sz w:val="32"/>
          <w:szCs w:val="32"/>
        </w:rPr>
        <w:t>“</w:t>
      </w:r>
      <w:r w:rsidRPr="007632BC">
        <w:rPr>
          <w:rFonts w:ascii="仿宋_GB2312" w:eastAsia="仿宋_GB2312" w:hAnsi="宋体" w:cs="仿宋_GB2312"/>
          <w:sz w:val="32"/>
          <w:szCs w:val="32"/>
        </w:rPr>
        <w:t>微绿地</w:t>
      </w:r>
      <w:r w:rsidRPr="007632BC">
        <w:rPr>
          <w:rFonts w:ascii="仿宋_GB2312" w:eastAsia="仿宋_GB2312" w:hAnsi="宋体" w:cs="仿宋_GB2312"/>
          <w:sz w:val="32"/>
          <w:szCs w:val="32"/>
        </w:rPr>
        <w:t>”</w:t>
      </w:r>
      <w:r w:rsidR="005B569A" w:rsidRPr="007632BC">
        <w:rPr>
          <w:rFonts w:ascii="仿宋_GB2312" w:eastAsia="仿宋_GB2312" w:hAnsi="宋体" w:cs="仿宋_GB2312" w:hint="eastAsia"/>
          <w:sz w:val="32"/>
          <w:szCs w:val="32"/>
        </w:rPr>
        <w:t>可参与出让</w:t>
      </w:r>
      <w:r w:rsidRPr="007632BC">
        <w:rPr>
          <w:rFonts w:ascii="仿宋_GB2312" w:eastAsia="仿宋_GB2312" w:hAnsi="宋体" w:cs="仿宋_GB2312" w:hint="eastAsia"/>
          <w:sz w:val="32"/>
          <w:szCs w:val="32"/>
        </w:rPr>
        <w:t>居住地块计算容积率、但参与不计算绿地率</w:t>
      </w:r>
      <w:r w:rsidRPr="007632BC">
        <w:rPr>
          <w:rFonts w:ascii="仿宋_GB2312" w:eastAsia="仿宋_GB2312" w:hAnsi="宋体" w:cs="仿宋_GB2312"/>
          <w:sz w:val="32"/>
          <w:szCs w:val="32"/>
        </w:rPr>
        <w:t>。</w:t>
      </w:r>
    </w:p>
    <w:p w:rsidR="008F695D" w:rsidRPr="007632BC" w:rsidRDefault="00044CBA">
      <w:pPr>
        <w:spacing w:line="560" w:lineRule="exact"/>
        <w:ind w:firstLineChars="200" w:firstLine="643"/>
        <w:rPr>
          <w:rFonts w:ascii="仿宋_GB2312" w:eastAsia="仿宋_GB2312" w:hAnsi="宋体" w:cs="仿宋_GB2312"/>
          <w:b/>
          <w:sz w:val="32"/>
          <w:szCs w:val="32"/>
        </w:rPr>
      </w:pPr>
      <w:r w:rsidRPr="007632BC">
        <w:rPr>
          <w:rFonts w:ascii="仿宋_GB2312" w:eastAsia="仿宋_GB2312" w:hAnsi="宋体" w:cs="仿宋_GB2312" w:hint="eastAsia"/>
          <w:b/>
          <w:sz w:val="32"/>
          <w:szCs w:val="32"/>
        </w:rPr>
        <w:t>本规定结合后期具体实施情况，可适时进行修订完善。</w:t>
      </w:r>
    </w:p>
    <w:p w:rsidR="008F695D" w:rsidRPr="007632BC" w:rsidRDefault="008F695D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8F695D" w:rsidRPr="007632BC" w:rsidRDefault="008F695D">
      <w:pPr>
        <w:spacing w:line="560" w:lineRule="exac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sectPr w:rsidR="008F695D" w:rsidRPr="007632BC" w:rsidSect="008F695D"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570" w:rsidRDefault="00F72570" w:rsidP="008F695D">
      <w:r>
        <w:separator/>
      </w:r>
    </w:p>
  </w:endnote>
  <w:endnote w:type="continuationSeparator" w:id="0">
    <w:p w:rsidR="00F72570" w:rsidRDefault="00F72570" w:rsidP="008F6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95D" w:rsidRDefault="00EB70C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144pt;margin-top:0;width:2in;height:2in;z-index:251659264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8F695D" w:rsidRDefault="00EB70CE">
                <w:pPr>
                  <w:pStyle w:val="a3"/>
                </w:pPr>
                <w:r>
                  <w:fldChar w:fldCharType="begin"/>
                </w:r>
                <w:r w:rsidR="00044CBA">
                  <w:instrText xml:space="preserve"> PAGE  \* MERGEFORMAT </w:instrText>
                </w:r>
                <w:r>
                  <w:fldChar w:fldCharType="separate"/>
                </w:r>
                <w:r w:rsidR="00D44E0F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570" w:rsidRDefault="00F72570" w:rsidP="008F695D">
      <w:r>
        <w:separator/>
      </w:r>
    </w:p>
  </w:footnote>
  <w:footnote w:type="continuationSeparator" w:id="0">
    <w:p w:rsidR="00F72570" w:rsidRDefault="00F72570" w:rsidP="008F69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6DEDB"/>
    <w:multiLevelType w:val="singleLevel"/>
    <w:tmpl w:val="E066DED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4D2"/>
    <w:rsid w:val="00044CBA"/>
    <w:rsid w:val="00053945"/>
    <w:rsid w:val="00062C4E"/>
    <w:rsid w:val="000A031D"/>
    <w:rsid w:val="000D6D5D"/>
    <w:rsid w:val="000E16B8"/>
    <w:rsid w:val="001079ED"/>
    <w:rsid w:val="00152946"/>
    <w:rsid w:val="0018649D"/>
    <w:rsid w:val="00212D10"/>
    <w:rsid w:val="00222563"/>
    <w:rsid w:val="002B46CA"/>
    <w:rsid w:val="002C6767"/>
    <w:rsid w:val="002E2304"/>
    <w:rsid w:val="002E3A49"/>
    <w:rsid w:val="00300488"/>
    <w:rsid w:val="00314FF0"/>
    <w:rsid w:val="003A5134"/>
    <w:rsid w:val="004A0B01"/>
    <w:rsid w:val="004D04B6"/>
    <w:rsid w:val="004F5286"/>
    <w:rsid w:val="00527B24"/>
    <w:rsid w:val="0054057B"/>
    <w:rsid w:val="00556604"/>
    <w:rsid w:val="005B569A"/>
    <w:rsid w:val="00605BA2"/>
    <w:rsid w:val="006162D8"/>
    <w:rsid w:val="006C7F1E"/>
    <w:rsid w:val="006D3ED9"/>
    <w:rsid w:val="007632BC"/>
    <w:rsid w:val="007F4C83"/>
    <w:rsid w:val="00830D8C"/>
    <w:rsid w:val="008544D2"/>
    <w:rsid w:val="008E6B84"/>
    <w:rsid w:val="008F3EF9"/>
    <w:rsid w:val="008F4CD6"/>
    <w:rsid w:val="008F695D"/>
    <w:rsid w:val="0090344C"/>
    <w:rsid w:val="009147DD"/>
    <w:rsid w:val="00925B57"/>
    <w:rsid w:val="00956F9B"/>
    <w:rsid w:val="00970BAB"/>
    <w:rsid w:val="00980F22"/>
    <w:rsid w:val="00996C77"/>
    <w:rsid w:val="009B3A74"/>
    <w:rsid w:val="009B434A"/>
    <w:rsid w:val="009E0CDB"/>
    <w:rsid w:val="00B236AC"/>
    <w:rsid w:val="00B3444D"/>
    <w:rsid w:val="00C108F2"/>
    <w:rsid w:val="00C22693"/>
    <w:rsid w:val="00C30173"/>
    <w:rsid w:val="00C528D3"/>
    <w:rsid w:val="00C548B4"/>
    <w:rsid w:val="00C66B1E"/>
    <w:rsid w:val="00CB5049"/>
    <w:rsid w:val="00CE4405"/>
    <w:rsid w:val="00CE72B7"/>
    <w:rsid w:val="00D44E0F"/>
    <w:rsid w:val="00D54FD7"/>
    <w:rsid w:val="00D860A1"/>
    <w:rsid w:val="00E31B77"/>
    <w:rsid w:val="00E546EF"/>
    <w:rsid w:val="00EB70CE"/>
    <w:rsid w:val="00F21CAD"/>
    <w:rsid w:val="00F5231E"/>
    <w:rsid w:val="00F72570"/>
    <w:rsid w:val="00F768EA"/>
    <w:rsid w:val="00FB429A"/>
    <w:rsid w:val="00FC30B0"/>
    <w:rsid w:val="0B82196E"/>
    <w:rsid w:val="29B705B2"/>
    <w:rsid w:val="33077A4D"/>
    <w:rsid w:val="3EBF3097"/>
    <w:rsid w:val="49811CF6"/>
    <w:rsid w:val="4BBA1266"/>
    <w:rsid w:val="51161A32"/>
    <w:rsid w:val="58AC7558"/>
    <w:rsid w:val="7BD7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69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8F695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F695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F695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8F695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8F695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36</cp:revision>
  <dcterms:created xsi:type="dcterms:W3CDTF">2025-10-28T08:02:00Z</dcterms:created>
  <dcterms:modified xsi:type="dcterms:W3CDTF">2025-11-09T23:49:00Z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eyJoZGlkIjoiNDI2NDkwYzQ4ZjFlZWU3OGZkNjJiOWZlZjY3YmU2MTkiLCJ1c2VySWQiOiI2MzIzNDM5MDUifQ==</vt:lpwstr>
  </property>
  <property fmtid="{D5CDD505-2E9C-101B-9397-08002B2CF9AE}" pid="4" name="ICV">
    <vt:lpwstr>A002CD0120CF4201910CA3E4AD0A6580_13</vt:lpwstr>
  </property>
</Properties>
</file>