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880" w:firstLineChars="20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长垣市政府投资项目土方管理办法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仿宋"/>
          <w:sz w:val="32"/>
          <w:szCs w:val="32"/>
          <w:lang w:eastAsia="zh-CN"/>
        </w:rPr>
        <w:t>（征求意见稿）</w:t>
      </w:r>
    </w:p>
    <w:p>
      <w:pPr>
        <w:spacing w:line="560" w:lineRule="exact"/>
        <w:ind w:firstLine="642" w:firstLineChars="200"/>
        <w:rPr>
          <w:rFonts w:ascii="方正仿宋_GB2312" w:hAnsi="方正仿宋_GB2312" w:eastAsia="方正仿宋_GB2312" w:cs="方正仿宋_GB2312"/>
          <w:b/>
          <w:bCs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黑体" w:hAnsi="黑体" w:eastAsia="黑体" w:cs="方正仿宋_GB2312"/>
          <w:bCs/>
          <w:sz w:val="32"/>
          <w:szCs w:val="32"/>
        </w:rPr>
        <w:t>第一条</w:t>
      </w:r>
      <w:r>
        <w:rPr>
          <w:rFonts w:hint="eastAsia" w:ascii="黑体" w:hAnsi="黑体" w:eastAsia="黑体" w:cs="方正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为规范政府投资项目土方管理，提高资源利用效益，确保土方合理处置、有效利用，根据《新乡市人民政府办公室关于加强政府投资项目土方管理的通知》精神，结合本市实际，制定本办法。</w:t>
      </w:r>
    </w:p>
    <w:p>
      <w:pPr>
        <w:spacing w:line="560" w:lineRule="exact"/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黑体" w:hAnsi="黑体" w:eastAsia="黑体" w:cs="方正仿宋_GB2312"/>
          <w:bCs/>
          <w:sz w:val="32"/>
          <w:szCs w:val="32"/>
        </w:rPr>
        <w:t xml:space="preserve">第二条 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 xml:space="preserve"> 本办法旨在解决部分政府投资重大项目土方供需不对称，建设单位主体责任、监管责任、统筹协调机制缺失等问题，避免项目重复计费，防止财政资金损失浪费。</w:t>
      </w:r>
    </w:p>
    <w:p>
      <w:pPr>
        <w:spacing w:line="560" w:lineRule="exact"/>
        <w:ind w:firstLine="640" w:firstLineChars="200"/>
        <w:rPr>
          <w:rFonts w:ascii="仿宋_GB2312" w:hAnsi="___WRD_EMBED_SUB_39" w:eastAsia="仿宋_GB2312" w:cs="___WRD_EMBED_SUB_39"/>
          <w:sz w:val="32"/>
          <w:szCs w:val="32"/>
        </w:rPr>
      </w:pPr>
      <w:r>
        <w:rPr>
          <w:rFonts w:hint="eastAsia" w:ascii="黑体" w:hAnsi="黑体" w:eastAsia="黑体" w:cs="方正仿宋_GB2312"/>
          <w:bCs/>
          <w:sz w:val="32"/>
          <w:szCs w:val="32"/>
        </w:rPr>
        <w:t xml:space="preserve">第三条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</w:t>
      </w:r>
      <w:r>
        <w:rPr>
          <w:rFonts w:ascii="仿宋_GB2312" w:hAnsi="___WRD_EMBED_SUB_39" w:eastAsia="仿宋_GB2312" w:cs="___WRD_EMBED_SUB_39"/>
          <w:sz w:val="32"/>
          <w:szCs w:val="32"/>
        </w:rPr>
        <w:t>本办法适用于本县行政区域内所有政府投资项目的土方采挖、运输、堆放、回填及综合利用等全流程管理</w:t>
      </w:r>
      <w:r>
        <w:rPr>
          <w:rFonts w:hint="eastAsia" w:ascii="仿宋_GB2312" w:hAnsi="___WRD_EMBED_SUB_39" w:eastAsia="仿宋_GB2312" w:cs="___WRD_EMBED_SUB_39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黑体" w:hAnsi="黑体" w:eastAsia="黑体" w:cs="方正仿宋_GB2312"/>
          <w:bCs/>
          <w:sz w:val="32"/>
          <w:szCs w:val="32"/>
        </w:rPr>
        <w:t xml:space="preserve">第四条  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建立</w:t>
      </w:r>
      <w:r>
        <w:rPr>
          <w:rFonts w:hint="eastAsia" w:ascii="仿宋_GB2312" w:hAnsi="宋体" w:eastAsia="仿宋_GB2312" w:cs="宋体"/>
          <w:sz w:val="32"/>
          <w:szCs w:val="32"/>
        </w:rPr>
        <w:t>完善</w:t>
      </w:r>
      <w:r>
        <w:rPr>
          <w:rFonts w:hint="eastAsia" w:ascii="仿宋_GB2312" w:hAnsi="___WRD_EMBED_SUB_39" w:eastAsia="仿宋_GB2312" w:cs="___WRD_EMBED_SUB_39"/>
          <w:sz w:val="32"/>
          <w:szCs w:val="32"/>
        </w:rPr>
        <w:t>政府投资项目土方信息</w:t>
      </w:r>
      <w:r>
        <w:rPr>
          <w:rFonts w:hint="eastAsia" w:ascii="仿宋_GB2312" w:hAnsi="宋体" w:eastAsia="仿宋_GB2312" w:cs="宋体"/>
          <w:sz w:val="32"/>
          <w:szCs w:val="32"/>
        </w:rPr>
        <w:t>收</w:t>
      </w:r>
      <w:r>
        <w:rPr>
          <w:rFonts w:hint="eastAsia" w:ascii="仿宋_GB2312" w:hAnsi="___WRD_EMBED_SUB_39" w:eastAsia="仿宋_GB2312" w:cs="___WRD_EMBED_SUB_39"/>
          <w:sz w:val="32"/>
          <w:szCs w:val="32"/>
        </w:rPr>
        <w:t>集、发</w:t>
      </w:r>
      <w:r>
        <w:rPr>
          <w:rFonts w:hint="eastAsia" w:ascii="仿宋_GB2312" w:hAnsi="宋体" w:eastAsia="仿宋_GB2312" w:cs="宋体"/>
          <w:sz w:val="32"/>
          <w:szCs w:val="32"/>
        </w:rPr>
        <w:t>布</w:t>
      </w:r>
      <w:r>
        <w:rPr>
          <w:rFonts w:hint="eastAsia" w:ascii="仿宋_GB2312" w:hAnsi="___WRD_EMBED_SUB_39" w:eastAsia="仿宋_GB2312" w:cs="___WRD_EMBED_SUB_39"/>
          <w:sz w:val="32"/>
          <w:szCs w:val="32"/>
        </w:rPr>
        <w:t>、更新、利用</w:t>
      </w:r>
      <w:r>
        <w:rPr>
          <w:rFonts w:hint="eastAsia" w:ascii="仿宋_GB2312" w:hAnsi="宋体" w:eastAsia="仿宋_GB2312" w:cs="宋体"/>
          <w:sz w:val="32"/>
          <w:szCs w:val="32"/>
        </w:rPr>
        <w:t>机</w:t>
      </w:r>
      <w:r>
        <w:rPr>
          <w:rFonts w:hint="eastAsia" w:ascii="仿宋_GB2312" w:hAnsi="___WRD_EMBED_SUB_39" w:eastAsia="仿宋_GB2312" w:cs="___WRD_EMBED_SUB_39"/>
          <w:sz w:val="32"/>
          <w:szCs w:val="32"/>
        </w:rPr>
        <w:t>制，实现土方信息共</w:t>
      </w:r>
      <w:r>
        <w:rPr>
          <w:rFonts w:hint="eastAsia" w:ascii="仿宋_GB2312" w:hAnsi="宋体" w:eastAsia="仿宋_GB2312" w:cs="宋体"/>
          <w:sz w:val="32"/>
          <w:szCs w:val="32"/>
        </w:rPr>
        <w:t>享</w:t>
      </w:r>
      <w:r>
        <w:rPr>
          <w:rFonts w:hint="eastAsia" w:ascii="仿宋_GB2312" w:hAnsi="___WRD_EMBED_SUB_39" w:eastAsia="仿宋_GB2312" w:cs="___WRD_EMBED_SUB_39"/>
          <w:sz w:val="32"/>
          <w:szCs w:val="32"/>
        </w:rPr>
        <w:t>。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土方信息共</w:t>
      </w:r>
      <w:r>
        <w:rPr>
          <w:rFonts w:hint="eastAsia" w:ascii="仿宋_GB2312" w:hAnsi="宋体" w:eastAsia="仿宋_GB2312" w:cs="宋体"/>
          <w:sz w:val="32"/>
          <w:szCs w:val="32"/>
        </w:rPr>
        <w:t>享机</w:t>
      </w:r>
      <w:r>
        <w:rPr>
          <w:rFonts w:hint="eastAsia" w:ascii="仿宋_GB2312" w:hAnsi="___WRD_EMBED_SUB_39" w:eastAsia="仿宋_GB2312" w:cs="___WRD_EMBED_SUB_39"/>
          <w:sz w:val="32"/>
          <w:szCs w:val="32"/>
        </w:rPr>
        <w:t>制由市资规局</w:t>
      </w:r>
      <w:r>
        <w:rPr>
          <w:rFonts w:hint="eastAsia" w:ascii="仿宋_GB2312" w:hAnsi="宋体" w:eastAsia="仿宋_GB2312" w:cs="宋体"/>
          <w:sz w:val="32"/>
          <w:szCs w:val="32"/>
        </w:rPr>
        <w:t>牵头</w:t>
      </w:r>
      <w:r>
        <w:rPr>
          <w:rFonts w:hint="eastAsia" w:ascii="仿宋_GB2312" w:hAnsi="___WRD_EMBED_SUB_39" w:eastAsia="仿宋_GB2312" w:cs="___WRD_EMBED_SUB_39"/>
          <w:sz w:val="32"/>
          <w:szCs w:val="32"/>
        </w:rPr>
        <w:t>实施。</w:t>
      </w:r>
    </w:p>
    <w:p>
      <w:pPr>
        <w:spacing w:line="560" w:lineRule="exact"/>
        <w:ind w:firstLine="640" w:firstLineChars="200"/>
        <w:rPr>
          <w:rFonts w:ascii="仿宋_GB2312" w:hAnsi="___WRD_EMBED_SUB_39" w:eastAsia="仿宋_GB2312" w:cs="___WRD_EMBED_SUB_39"/>
          <w:sz w:val="32"/>
          <w:szCs w:val="32"/>
        </w:rPr>
      </w:pPr>
      <w:r>
        <w:rPr>
          <w:rFonts w:hint="eastAsia" w:ascii="黑体" w:hAnsi="黑体" w:eastAsia="黑体" w:cs="方正仿宋_GB2312"/>
          <w:bCs/>
          <w:sz w:val="32"/>
          <w:szCs w:val="32"/>
        </w:rPr>
        <w:t xml:space="preserve">第五条  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市发改委、财政局、住建局、城管局、交通运输局、水利局、教育局、投资集团等政府投资项目的建设(主管)单位，对项目实施中产生的</w:t>
      </w:r>
      <w:r>
        <w:rPr>
          <w:rFonts w:ascii="仿宋_GB2312" w:hAnsi="方正仿宋_GB2312" w:eastAsia="仿宋_GB2312" w:cs="方正仿宋_GB2312"/>
          <w:sz w:val="32"/>
          <w:szCs w:val="32"/>
        </w:rPr>
        <w:t>土方信息（包括土方量、类型、处置时限等）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，报市资规局汇总后，通过市政府门户网站的土方信息发布专栏予以公</w:t>
      </w:r>
      <w:r>
        <w:rPr>
          <w:rFonts w:hint="eastAsia" w:ascii="仿宋_GB2312" w:hAnsi="宋体" w:eastAsia="仿宋_GB2312" w:cs="宋体"/>
          <w:sz w:val="32"/>
          <w:szCs w:val="32"/>
        </w:rPr>
        <w:t>布</w:t>
      </w:r>
      <w:r>
        <w:rPr>
          <w:rFonts w:hint="eastAsia" w:ascii="仿宋_GB2312" w:hAnsi="___WRD_EMBED_SUB_39" w:eastAsia="仿宋_GB2312" w:cs="___WRD_EMBED_SUB_39"/>
          <w:sz w:val="32"/>
          <w:szCs w:val="32"/>
        </w:rPr>
        <w:t>、更新。</w:t>
      </w:r>
    </w:p>
    <w:p>
      <w:pPr>
        <w:spacing w:line="560" w:lineRule="exact"/>
        <w:ind w:firstLine="640" w:firstLineChars="200"/>
        <w:rPr>
          <w:rFonts w:ascii="仿宋_GB2312" w:hAnsi="___WRD_EMBED_SUB_39" w:eastAsia="仿宋_GB2312" w:cs="___WRD_EMBED_SUB_39"/>
          <w:sz w:val="32"/>
          <w:szCs w:val="32"/>
        </w:rPr>
      </w:pPr>
      <w:r>
        <w:rPr>
          <w:rFonts w:hint="eastAsia" w:ascii="黑体" w:hAnsi="黑体" w:eastAsia="黑体" w:cs="方正仿宋_GB2312"/>
          <w:bCs/>
          <w:sz w:val="32"/>
          <w:szCs w:val="32"/>
        </w:rPr>
        <w:t xml:space="preserve">第六条  </w:t>
      </w:r>
      <w:r>
        <w:rPr>
          <w:rFonts w:hint="eastAsia" w:ascii="仿宋_GB2312" w:hAnsi="___WRD_EMBED_SUB_39" w:eastAsia="仿宋_GB2312" w:cs="___WRD_EMBED_SUB_39"/>
          <w:sz w:val="32"/>
          <w:szCs w:val="32"/>
        </w:rPr>
        <w:t>有土方</w:t>
      </w:r>
      <w:r>
        <w:rPr>
          <w:rFonts w:hint="eastAsia" w:ascii="仿宋_GB2312" w:hAnsi="宋体" w:eastAsia="仿宋_GB2312" w:cs="宋体"/>
          <w:sz w:val="32"/>
          <w:szCs w:val="32"/>
        </w:rPr>
        <w:t>需求</w:t>
      </w:r>
      <w:r>
        <w:rPr>
          <w:rFonts w:hint="eastAsia" w:ascii="仿宋_GB2312" w:hAnsi="___WRD_EMBED_SUB_39" w:eastAsia="仿宋_GB2312" w:cs="___WRD_EMBED_SUB_39"/>
          <w:sz w:val="32"/>
          <w:szCs w:val="32"/>
        </w:rPr>
        <w:t>的项目单位根据</w:t>
      </w:r>
      <w:r>
        <w:rPr>
          <w:rFonts w:hint="eastAsia" w:ascii="仿宋_GB2312" w:hAnsi="宋体" w:eastAsia="仿宋_GB2312" w:cs="宋体"/>
          <w:sz w:val="32"/>
          <w:szCs w:val="32"/>
        </w:rPr>
        <w:t>已</w:t>
      </w:r>
      <w:r>
        <w:rPr>
          <w:rFonts w:hint="eastAsia" w:ascii="仿宋_GB2312" w:hAnsi="___WRD_EMBED_SUB_39" w:eastAsia="仿宋_GB2312" w:cs="___WRD_EMBED_SUB_39"/>
          <w:sz w:val="32"/>
          <w:szCs w:val="32"/>
        </w:rPr>
        <w:t>公</w:t>
      </w:r>
      <w:r>
        <w:rPr>
          <w:rFonts w:hint="eastAsia" w:ascii="仿宋_GB2312" w:hAnsi="宋体" w:eastAsia="仿宋_GB2312" w:cs="宋体"/>
          <w:sz w:val="32"/>
          <w:szCs w:val="32"/>
        </w:rPr>
        <w:t>布</w:t>
      </w:r>
      <w:r>
        <w:rPr>
          <w:rFonts w:hint="eastAsia" w:ascii="仿宋_GB2312" w:hAnsi="___WRD_EMBED_SUB_39" w:eastAsia="仿宋_GB2312" w:cs="___WRD_EMBED_SUB_39"/>
          <w:sz w:val="32"/>
          <w:szCs w:val="32"/>
        </w:rPr>
        <w:t>土方信息，及时</w:t>
      </w:r>
      <w:r>
        <w:rPr>
          <w:rFonts w:hint="eastAsia" w:ascii="仿宋_GB2312" w:hAnsi="宋体" w:eastAsia="仿宋_GB2312" w:cs="宋体"/>
          <w:sz w:val="32"/>
          <w:szCs w:val="32"/>
        </w:rPr>
        <w:t>联系市资规局，合理调运土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方</w:t>
      </w:r>
      <w:r>
        <w:rPr>
          <w:rFonts w:hint="eastAsia" w:ascii="仿宋_GB2312" w:hAnsi="宋体" w:eastAsia="仿宋_GB2312" w:cs="宋体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hAnsi="方正仿宋_GB2312" w:eastAsia="仿宋_GB2312" w:cs="方正仿宋_GB2312"/>
          <w:sz w:val="32"/>
          <w:szCs w:val="32"/>
        </w:rPr>
      </w:pPr>
      <w:r>
        <w:rPr>
          <w:rFonts w:hint="eastAsia" w:ascii="黑体" w:hAnsi="黑体" w:eastAsia="黑体" w:cs="方正仿宋_GB2312"/>
          <w:bCs/>
          <w:sz w:val="32"/>
          <w:szCs w:val="32"/>
        </w:rPr>
        <w:t xml:space="preserve">第七条  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政府</w:t>
      </w:r>
      <w:r>
        <w:rPr>
          <w:rFonts w:hint="eastAsia" w:ascii="仿宋_GB2312" w:hAnsi="方正仿宋_GB2312" w:eastAsia="仿宋_GB2312" w:cs="方正仿宋_GB2312"/>
          <w:sz w:val="32"/>
          <w:szCs w:val="32"/>
          <w:lang w:eastAsia="zh-CN"/>
        </w:rPr>
        <w:t>投资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项目</w:t>
      </w:r>
      <w:r>
        <w:rPr>
          <w:rFonts w:hint="eastAsia" w:ascii="仿宋_GB2312" w:hAnsi="方正仿宋_GB2312" w:eastAsia="仿宋_GB2312" w:cs="方正仿宋_GB2312"/>
          <w:sz w:val="32"/>
          <w:szCs w:val="32"/>
          <w:lang w:eastAsia="zh-CN"/>
        </w:rPr>
        <w:t>回填完成后，剩余土方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应采取市场化交易方式</w:t>
      </w:r>
      <w:r>
        <w:rPr>
          <w:rFonts w:hint="eastAsia" w:ascii="仿宋_GB2312" w:hAnsi="方正仿宋_GB2312" w:eastAsia="仿宋_GB2312" w:cs="方正仿宋_GB2312"/>
          <w:sz w:val="32"/>
          <w:szCs w:val="32"/>
          <w:lang w:eastAsia="zh-CN"/>
        </w:rPr>
        <w:t>来解决项目的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需求和供应。政府项目产生的土方售卖的，由资规局将土方售卖款缴入市财政指定账户。</w:t>
      </w:r>
    </w:p>
    <w:p>
      <w:pPr>
        <w:spacing w:line="560" w:lineRule="exact"/>
        <w:ind w:firstLine="640" w:firstLineChars="200"/>
        <w:rPr>
          <w:rFonts w:hint="eastAsia" w:ascii="仿宋_GB2312" w:hAnsi="方正仿宋_GB2312" w:eastAsia="仿宋_GB2312" w:cs="方正仿宋_GB2312"/>
          <w:sz w:val="32"/>
          <w:szCs w:val="32"/>
        </w:rPr>
      </w:pPr>
      <w:r>
        <w:rPr>
          <w:rFonts w:hint="eastAsia" w:ascii="黑体" w:hAnsi="黑体" w:eastAsia="黑体" w:cs="方正仿宋_GB2312"/>
          <w:bCs/>
          <w:sz w:val="32"/>
          <w:szCs w:val="32"/>
        </w:rPr>
        <w:t xml:space="preserve">第八条  </w:t>
      </w:r>
      <w:r>
        <w:rPr>
          <w:rFonts w:ascii="仿宋_GB2312" w:hAnsi="方正仿宋_GB2312" w:eastAsia="仿宋_GB2312" w:cs="方正仿宋_GB2312"/>
          <w:sz w:val="32"/>
          <w:szCs w:val="32"/>
        </w:rPr>
        <w:t>同期在建项目</w:t>
      </w:r>
      <w:r>
        <w:rPr>
          <w:rFonts w:hint="eastAsia" w:ascii="仿宋_GB2312" w:hAnsi="方正仿宋_GB2312" w:eastAsia="仿宋_GB2312" w:cs="方正仿宋_GB2312"/>
          <w:sz w:val="32"/>
          <w:szCs w:val="32"/>
          <w:lang w:eastAsia="zh-CN"/>
        </w:rPr>
        <w:t>鼓励按照市场化原则就近调配土方资源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，</w:t>
      </w:r>
      <w:r>
        <w:rPr>
          <w:rFonts w:ascii="仿宋_GB2312" w:hAnsi="方正仿宋_GB2312" w:eastAsia="仿宋_GB2312" w:cs="方正仿宋_GB2312"/>
          <w:sz w:val="32"/>
          <w:szCs w:val="32"/>
        </w:rPr>
        <w:t>减少外运成本。跨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县域</w:t>
      </w:r>
      <w:r>
        <w:rPr>
          <w:rFonts w:ascii="仿宋_GB2312" w:hAnsi="方正仿宋_GB2312" w:eastAsia="仿宋_GB2312" w:cs="方正仿宋_GB2312"/>
          <w:sz w:val="32"/>
          <w:szCs w:val="32"/>
        </w:rPr>
        <w:t>调配</w:t>
      </w:r>
      <w:r>
        <w:rPr>
          <w:rFonts w:hint="eastAsia" w:ascii="仿宋_GB2312" w:hAnsi="方正仿宋_GB2312" w:eastAsia="仿宋_GB2312" w:cs="方正仿宋_GB2312"/>
          <w:sz w:val="32"/>
          <w:szCs w:val="32"/>
          <w:lang w:eastAsia="zh-CN"/>
        </w:rPr>
        <w:t>需纳入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市资规</w:t>
      </w:r>
      <w:r>
        <w:rPr>
          <w:rFonts w:ascii="仿宋_GB2312" w:hAnsi="方正仿宋_GB2312" w:eastAsia="仿宋_GB2312" w:cs="方正仿宋_GB2312"/>
          <w:sz w:val="32"/>
          <w:szCs w:val="32"/>
        </w:rPr>
        <w:t>局</w:t>
      </w:r>
      <w:r>
        <w:rPr>
          <w:rFonts w:hint="eastAsia" w:ascii="仿宋_GB2312" w:hAnsi="方正仿宋_GB2312" w:eastAsia="仿宋_GB2312" w:cs="方正仿宋_GB2312"/>
          <w:sz w:val="32"/>
          <w:szCs w:val="32"/>
          <w:lang w:eastAsia="zh-CN"/>
        </w:rPr>
        <w:t>监管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黑体" w:hAnsi="黑体" w:eastAsia="黑体" w:cs="方正仿宋_GB2312"/>
          <w:bCs/>
          <w:sz w:val="32"/>
          <w:szCs w:val="32"/>
        </w:rPr>
        <w:t xml:space="preserve">第九条  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资规局应合理选址，临时堆放</w:t>
      </w:r>
      <w:r>
        <w:rPr>
          <w:rFonts w:ascii="仿宋_GB2312" w:hAnsi="方正仿宋_GB2312" w:eastAsia="仿宋_GB2312" w:cs="方正仿宋_GB2312"/>
          <w:sz w:val="32"/>
          <w:szCs w:val="32"/>
        </w:rPr>
        <w:t>富余土方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，并负责堆土场地日常监管，择机进行调配或公开</w:t>
      </w:r>
      <w:r>
        <w:rPr>
          <w:rFonts w:ascii="仿宋_GB2312" w:hAnsi="方正仿宋_GB2312" w:eastAsia="仿宋_GB2312" w:cs="方正仿宋_GB2312"/>
          <w:sz w:val="32"/>
          <w:szCs w:val="32"/>
        </w:rPr>
        <w:t>市场化交易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黑体" w:hAnsi="黑体" w:eastAsia="黑体" w:cs="方正仿宋_GB2312"/>
          <w:bCs/>
          <w:sz w:val="32"/>
          <w:szCs w:val="32"/>
        </w:rPr>
        <w:t xml:space="preserve">第十条  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压实工作责任。</w:t>
      </w:r>
    </w:p>
    <w:p>
      <w:pPr>
        <w:spacing w:line="560" w:lineRule="exact"/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项目建设单位：切实履行项目主体责任，科学制定土方处置方案，</w:t>
      </w:r>
      <w:r>
        <w:rPr>
          <w:rFonts w:ascii="仿宋_GB2312" w:hAnsi="方正仿宋_GB2312" w:eastAsia="仿宋_GB2312" w:cs="方正仿宋_GB2312"/>
          <w:sz w:val="32"/>
          <w:szCs w:val="32"/>
        </w:rPr>
        <w:t>认真做好土方量核算工作，确保核算结果真实准确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，并依据处置方案实施采挖。</w:t>
      </w:r>
      <w:r>
        <w:rPr>
          <w:rFonts w:ascii="仿宋_GB2312" w:hAnsi="方正仿宋_GB2312" w:eastAsia="仿宋_GB2312" w:cs="方正仿宋_GB2312"/>
          <w:sz w:val="32"/>
          <w:szCs w:val="32"/>
        </w:rPr>
        <w:t>项目建设单位应科学制定土方处置方案，明确土方来源及分类（表土、深层土等）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、</w:t>
      </w:r>
      <w:r>
        <w:rPr>
          <w:rFonts w:ascii="仿宋_GB2312" w:hAnsi="方正仿宋_GB2312" w:eastAsia="仿宋_GB2312" w:cs="方正仿宋_GB2312"/>
          <w:sz w:val="32"/>
          <w:szCs w:val="32"/>
        </w:rPr>
        <w:t>土方量、处置方式、运输路线、堆放地点及防尘措施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、</w:t>
      </w:r>
      <w:r>
        <w:rPr>
          <w:rFonts w:ascii="仿宋_GB2312" w:hAnsi="方正仿宋_GB2312" w:eastAsia="仿宋_GB2312" w:cs="方正仿宋_GB2312"/>
          <w:sz w:val="32"/>
          <w:szCs w:val="32"/>
        </w:rPr>
        <w:t>回填或综合利用计划（如绿化用土、土地复垦等）等关键要素，并报项目主管单位备案。</w:t>
      </w:r>
    </w:p>
    <w:p>
      <w:pPr>
        <w:spacing w:line="560" w:lineRule="exact"/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项目主管单位：按照“谁审批、谁负责、谁监管”的原则，住建、城管、交通、水利、教育等项目主管单位，</w:t>
      </w:r>
      <w:r>
        <w:rPr>
          <w:rFonts w:ascii="仿宋_GB2312" w:hAnsi="方正仿宋_GB2312" w:eastAsia="仿宋_GB2312" w:cs="方正仿宋_GB2312"/>
          <w:sz w:val="32"/>
          <w:szCs w:val="32"/>
        </w:rPr>
        <w:t>负责土方处置方案备案审查，监督项目实施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，落实好土方开挖、储存、运输等过程的扬尘和安全监管，</w:t>
      </w:r>
      <w:r>
        <w:rPr>
          <w:rFonts w:ascii="仿宋_GB2312" w:hAnsi="方正仿宋_GB2312" w:eastAsia="仿宋_GB2312" w:cs="方正仿宋_GB2312"/>
          <w:sz w:val="32"/>
          <w:szCs w:val="32"/>
        </w:rPr>
        <w:t>定期开展现场检查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，对超出建设项目批准占地范围和标高采挖土方的，及时制止并督促建设单位恢复治理。</w:t>
      </w:r>
      <w:r>
        <w:rPr>
          <w:rFonts w:ascii="仿宋_GB2312" w:hAnsi="方正仿宋_GB2312" w:eastAsia="仿宋_GB2312" w:cs="方正仿宋_GB2312"/>
          <w:sz w:val="32"/>
          <w:szCs w:val="32"/>
        </w:rPr>
        <w:t>对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项目建设单位上报的土方量</w:t>
      </w:r>
      <w:r>
        <w:rPr>
          <w:rFonts w:ascii="仿宋_GB2312" w:hAnsi="方正仿宋_GB2312" w:eastAsia="仿宋_GB2312" w:cs="方正仿宋_GB2312"/>
          <w:sz w:val="32"/>
          <w:szCs w:val="32"/>
        </w:rPr>
        <w:t>进行复核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，填报《长垣市政府投资项目土方量情况统计表》，按时、准确上报土方信息，</w:t>
      </w:r>
      <w:r>
        <w:rPr>
          <w:rFonts w:ascii="仿宋_GB2312" w:hAnsi="方正仿宋_GB2312" w:eastAsia="仿宋_GB2312" w:cs="方正仿宋_GB2312"/>
          <w:sz w:val="32"/>
          <w:szCs w:val="32"/>
        </w:rPr>
        <w:t>防止虚报、瞒报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审计、财政、发改等部门：</w:t>
      </w:r>
      <w:r>
        <w:rPr>
          <w:rFonts w:ascii="仿宋_GB2312" w:hAnsi="方正仿宋_GB2312" w:eastAsia="仿宋_GB2312" w:cs="方正仿宋_GB2312"/>
          <w:sz w:val="32"/>
          <w:szCs w:val="32"/>
        </w:rPr>
        <w:t>对土方处置资金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纳入非税</w:t>
      </w:r>
      <w:r>
        <w:rPr>
          <w:rFonts w:ascii="仿宋_GB2312" w:hAnsi="方正仿宋_GB2312" w:eastAsia="仿宋_GB2312" w:cs="方正仿宋_GB2312"/>
          <w:sz w:val="32"/>
          <w:szCs w:val="32"/>
        </w:rPr>
        <w:t>管理，审核预算并监督资金使用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。加强财政资金、上级政策资金使用的监督管理，保障资金安全高效运行。</w:t>
      </w:r>
    </w:p>
    <w:p>
      <w:pPr>
        <w:spacing w:line="560" w:lineRule="exact"/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资源规划部门：加强督促指导和统筹协调，及时收集、汇总、发布土方信息，</w:t>
      </w:r>
      <w:r>
        <w:rPr>
          <w:rFonts w:ascii="仿宋_GB2312" w:hAnsi="方正仿宋_GB2312" w:eastAsia="仿宋_GB2312" w:cs="方正仿宋_GB2312"/>
          <w:sz w:val="32"/>
          <w:szCs w:val="32"/>
        </w:rPr>
        <w:t>统筹土方供需调配，查处非法采挖行为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，建立土方产生、调配、处置的规范管理秩序。</w:t>
      </w:r>
    </w:p>
    <w:p>
      <w:pPr>
        <w:spacing w:line="560" w:lineRule="exact"/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城管</w:t>
      </w:r>
      <w:r>
        <w:rPr>
          <w:rFonts w:ascii="仿宋_GB2312" w:hAnsi="方正仿宋_GB2312" w:eastAsia="仿宋_GB2312" w:cs="方正仿宋_GB2312"/>
          <w:sz w:val="32"/>
          <w:szCs w:val="32"/>
        </w:rPr>
        <w:t>局：监管土方运输车辆（如全密闭运输）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、</w:t>
      </w:r>
      <w:r>
        <w:rPr>
          <w:rFonts w:ascii="仿宋_GB2312" w:hAnsi="方正仿宋_GB2312" w:eastAsia="仿宋_GB2312" w:cs="方正仿宋_GB2312"/>
          <w:sz w:val="32"/>
          <w:szCs w:val="32"/>
        </w:rPr>
        <w:t>土方运输路线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、GPS</w:t>
      </w:r>
      <w:r>
        <w:rPr>
          <w:rFonts w:ascii="仿宋_GB2312" w:hAnsi="方正仿宋_GB2312" w:eastAsia="仿宋_GB2312" w:cs="方正仿宋_GB2312"/>
          <w:sz w:val="32"/>
          <w:szCs w:val="32"/>
        </w:rPr>
        <w:t>定位追踪土方运输轨迹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、</w:t>
      </w:r>
      <w:r>
        <w:rPr>
          <w:rFonts w:ascii="仿宋_GB2312" w:hAnsi="方正仿宋_GB2312" w:eastAsia="仿宋_GB2312" w:cs="方正仿宋_GB2312"/>
          <w:sz w:val="32"/>
          <w:szCs w:val="32"/>
        </w:rPr>
        <w:t>监督防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尘</w:t>
      </w:r>
      <w:r>
        <w:rPr>
          <w:rFonts w:ascii="仿宋_GB2312" w:hAnsi="方正仿宋_GB2312" w:eastAsia="仿宋_GB2312" w:cs="方正仿宋_GB2312"/>
          <w:sz w:val="32"/>
          <w:szCs w:val="32"/>
        </w:rPr>
        <w:t>措施落实。</w:t>
      </w:r>
    </w:p>
    <w:p>
      <w:pPr>
        <w:spacing w:line="560" w:lineRule="exact"/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黑体" w:hAnsi="黑体" w:eastAsia="黑体" w:cs="方正仿宋_GB2312"/>
          <w:bCs/>
          <w:sz w:val="32"/>
          <w:szCs w:val="32"/>
        </w:rPr>
        <w:t xml:space="preserve">第十一条  </w:t>
      </w:r>
      <w:r>
        <w:rPr>
          <w:rFonts w:ascii="仿宋_GB2312" w:hAnsi="方正仿宋_GB2312" w:eastAsia="仿宋_GB2312" w:cs="方正仿宋_GB2312"/>
          <w:sz w:val="32"/>
          <w:szCs w:val="32"/>
        </w:rPr>
        <w:t>土方工程须纳入项目全过程造价控制，施工图预算中单列土方处置费用</w:t>
      </w:r>
      <w:r>
        <w:rPr>
          <w:rFonts w:hint="eastAsia" w:ascii="仿宋_GB2312" w:hAnsi="方正仿宋_GB2312" w:eastAsia="仿宋_GB2312" w:cs="方正仿宋_GB2312"/>
          <w:sz w:val="32"/>
          <w:szCs w:val="32"/>
          <w:lang w:eastAsia="zh-CN"/>
        </w:rPr>
        <w:t>。土方处置方式属于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《城市建筑</w:t>
      </w:r>
      <w:r>
        <w:rPr>
          <w:rFonts w:hint="eastAsia" w:ascii="仿宋_GB2312" w:hAnsi="方正仿宋_GB2312" w:eastAsia="仿宋_GB2312" w:cs="方正仿宋_GB2312"/>
          <w:sz w:val="32"/>
          <w:szCs w:val="32"/>
          <w:lang w:eastAsia="zh-CN"/>
        </w:rPr>
        <w:t>垃圾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管理规定》</w:t>
      </w:r>
      <w:r>
        <w:rPr>
          <w:rFonts w:hint="eastAsia" w:ascii="仿宋_GB2312" w:hAnsi="方正仿宋_GB2312" w:eastAsia="仿宋_GB2312" w:cs="方正仿宋_GB2312"/>
          <w:sz w:val="32"/>
          <w:szCs w:val="32"/>
          <w:lang w:eastAsia="zh-CN"/>
        </w:rPr>
        <w:t>管理范围的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，</w:t>
      </w:r>
      <w:r>
        <w:rPr>
          <w:rFonts w:hint="eastAsia" w:ascii="仿宋_GB2312" w:hAnsi="方正仿宋_GB2312" w:eastAsia="仿宋_GB2312" w:cs="方正仿宋_GB2312"/>
          <w:sz w:val="32"/>
          <w:szCs w:val="32"/>
          <w:lang w:eastAsia="zh-CN"/>
        </w:rPr>
        <w:t>由城管局征收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处置费</w:t>
      </w:r>
      <w:r>
        <w:rPr>
          <w:rFonts w:hint="eastAsia" w:ascii="仿宋_GB2312" w:hAnsi="方正仿宋_GB2312" w:eastAsia="仿宋_GB2312" w:cs="方正仿宋_GB2312"/>
          <w:sz w:val="32"/>
          <w:szCs w:val="32"/>
          <w:lang w:eastAsia="zh-CN"/>
        </w:rPr>
        <w:t>并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缴入市财政指定账户。</w:t>
      </w:r>
    </w:p>
    <w:p>
      <w:pPr>
        <w:spacing w:line="560" w:lineRule="exact"/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黑体" w:hAnsi="黑体" w:eastAsia="黑体" w:cs="方正仿宋_GB2312"/>
          <w:bCs/>
          <w:sz w:val="32"/>
          <w:szCs w:val="32"/>
        </w:rPr>
        <w:t xml:space="preserve">第十二条  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项目主管（建设）单位应在开工前20日填报《长垣市政府投资项目土方量情况统计表》并上报市资规局备案。开工时间发生变化的，应在变更后5个工作日内重新备案。</w:t>
      </w:r>
    </w:p>
    <w:p>
      <w:pPr>
        <w:spacing w:line="560" w:lineRule="exact"/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黑体" w:hAnsi="黑体" w:eastAsia="黑体" w:cs="方正仿宋_GB2312"/>
          <w:bCs/>
          <w:sz w:val="32"/>
          <w:szCs w:val="32"/>
        </w:rPr>
        <w:t xml:space="preserve">第十三条 </w:t>
      </w:r>
      <w:r>
        <w:rPr>
          <w:rFonts w:hint="eastAsia" w:ascii="仿宋_GB2312" w:hAnsi="黑体" w:eastAsia="仿宋_GB2312" w:cs="方正仿宋_GB2312"/>
          <w:bCs/>
          <w:sz w:val="32"/>
          <w:szCs w:val="32"/>
        </w:rPr>
        <w:t xml:space="preserve"> 项目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主管（建设）</w:t>
      </w:r>
      <w:r>
        <w:rPr>
          <w:rFonts w:ascii="仿宋_GB2312" w:hAnsi="方正仿宋_GB2312" w:eastAsia="仿宋_GB2312" w:cs="方正仿宋_GB2312"/>
          <w:sz w:val="32"/>
          <w:szCs w:val="32"/>
        </w:rPr>
        <w:t>单位应在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项目施工过程中每10日更新土方动态数据</w:t>
      </w:r>
      <w:r>
        <w:rPr>
          <w:rFonts w:ascii="仿宋_GB2312" w:hAnsi="方正仿宋_GB2312" w:eastAsia="仿宋_GB2312" w:cs="方正仿宋_GB2312"/>
          <w:sz w:val="32"/>
          <w:szCs w:val="32"/>
        </w:rPr>
        <w:t>，逾期未报的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，市资规局可函告财政局</w:t>
      </w:r>
      <w:r>
        <w:rPr>
          <w:rFonts w:ascii="仿宋_GB2312" w:hAnsi="方正仿宋_GB2312" w:eastAsia="仿宋_GB2312" w:cs="方正仿宋_GB2312"/>
          <w:sz w:val="32"/>
          <w:szCs w:val="32"/>
        </w:rPr>
        <w:t>暂停资金拨付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黑体" w:hAnsi="黑体" w:eastAsia="黑体" w:cs="方正仿宋_GB2312"/>
          <w:bCs/>
          <w:sz w:val="32"/>
          <w:szCs w:val="32"/>
        </w:rPr>
        <w:t xml:space="preserve">第十四条  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项目主管（建设）单位对上报信息负责，确保上报数据真实准确，坚决防止不及时上报或隐瞒不报、数据有误、擅自处置等问题。</w:t>
      </w:r>
    </w:p>
    <w:p>
      <w:pPr>
        <w:spacing w:line="560" w:lineRule="exact"/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黑体" w:hAnsi="黑体" w:eastAsia="黑体" w:cs="方正仿宋_GB2312"/>
          <w:bCs/>
          <w:sz w:val="32"/>
          <w:szCs w:val="32"/>
        </w:rPr>
        <w:t xml:space="preserve">第十五条  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市资规局要</w:t>
      </w:r>
      <w:r>
        <w:rPr>
          <w:rFonts w:ascii="仿宋_GB2312" w:hAnsi="方正仿宋_GB2312" w:eastAsia="仿宋_GB2312" w:cs="方正仿宋_GB2312"/>
          <w:sz w:val="32"/>
          <w:szCs w:val="32"/>
        </w:rPr>
        <w:t>加强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与相关单位沟通对接，建立完善工作会商、调度、督导、讲评等工作机制，查找不足，提高信息发布的精确性和时效性。</w:t>
      </w:r>
    </w:p>
    <w:p>
      <w:pPr>
        <w:spacing w:line="560" w:lineRule="exact"/>
        <w:ind w:firstLine="640" w:firstLineChars="200"/>
        <w:rPr>
          <w:rFonts w:hint="eastAsia" w:ascii="仿宋_GB2312" w:hAnsi="方正仿宋_GB2312" w:eastAsia="仿宋_GB2312" w:cs="方正仿宋_GB2312"/>
          <w:sz w:val="32"/>
          <w:szCs w:val="32"/>
        </w:rPr>
      </w:pPr>
      <w:r>
        <w:rPr>
          <w:rFonts w:hint="eastAsia" w:ascii="黑体" w:hAnsi="黑体" w:eastAsia="黑体" w:cs="方正仿宋_GB2312"/>
          <w:bCs/>
          <w:sz w:val="32"/>
          <w:szCs w:val="32"/>
        </w:rPr>
        <w:t xml:space="preserve">第十六条  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对不按本管理办法规定，擅自处置土方的，市资规局按法律法规要求移送城管局进行立案调查。</w:t>
      </w:r>
    </w:p>
    <w:p>
      <w:pPr>
        <w:spacing w:line="560" w:lineRule="exact"/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黑体" w:hAnsi="黑体" w:eastAsia="黑体" w:cs="方正仿宋_GB2312"/>
          <w:bCs/>
          <w:sz w:val="32"/>
          <w:szCs w:val="32"/>
        </w:rPr>
        <w:t>第十七条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 xml:space="preserve">  施工方</w:t>
      </w:r>
      <w:r>
        <w:rPr>
          <w:rFonts w:ascii="仿宋_GB2312" w:hAnsi="方正仿宋_GB2312" w:eastAsia="仿宋_GB2312" w:cs="方正仿宋_GB2312"/>
          <w:sz w:val="32"/>
          <w:szCs w:val="32"/>
        </w:rPr>
        <w:t>虚报土方量或伪造处置记录的，追究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项目主管</w:t>
      </w:r>
      <w:r>
        <w:rPr>
          <w:rFonts w:ascii="仿宋_GB2312" w:hAnsi="方正仿宋_GB2312" w:eastAsia="仿宋_GB2312" w:cs="方正仿宋_GB2312"/>
          <w:sz w:val="32"/>
          <w:szCs w:val="32"/>
        </w:rPr>
        <w:t>单位及责任人责任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黑体" w:hAnsi="黑体" w:eastAsia="黑体" w:cs="方正仿宋_GB2312"/>
          <w:bCs/>
          <w:sz w:val="32"/>
          <w:szCs w:val="32"/>
        </w:rPr>
        <w:t xml:space="preserve">第十八条  </w:t>
      </w:r>
      <w:r>
        <w:rPr>
          <w:rFonts w:ascii="仿宋_GB2312" w:hAnsi="方正仿宋_GB2312" w:eastAsia="仿宋_GB2312" w:cs="方正仿宋_GB2312"/>
          <w:sz w:val="32"/>
          <w:szCs w:val="32"/>
        </w:rPr>
        <w:t>鼓励社会各界对政府投资项目土方管理进行监督，对发现的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不按规定处置土方的</w:t>
      </w:r>
      <w:r>
        <w:rPr>
          <w:rFonts w:ascii="仿宋_GB2312" w:hAnsi="方正仿宋_GB2312" w:eastAsia="仿宋_GB2312" w:cs="方正仿宋_GB2312"/>
          <w:sz w:val="32"/>
          <w:szCs w:val="32"/>
        </w:rPr>
        <w:t>行为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，</w:t>
      </w:r>
      <w:r>
        <w:rPr>
          <w:rFonts w:ascii="仿宋_GB2312" w:hAnsi="方正仿宋_GB2312" w:eastAsia="仿宋_GB2312" w:cs="方正仿宋_GB2312"/>
          <w:sz w:val="32"/>
          <w:szCs w:val="32"/>
        </w:rPr>
        <w:t>及时向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市资规局</w:t>
      </w:r>
      <w:r>
        <w:rPr>
          <w:rFonts w:ascii="仿宋_GB2312" w:hAnsi="方正仿宋_GB2312" w:eastAsia="仿宋_GB2312" w:cs="方正仿宋_GB2312"/>
          <w:sz w:val="32"/>
          <w:szCs w:val="32"/>
        </w:rPr>
        <w:t>举报。</w:t>
      </w:r>
    </w:p>
    <w:p>
      <w:pPr>
        <w:spacing w:line="560" w:lineRule="exact"/>
        <w:ind w:firstLine="640" w:firstLineChars="200"/>
        <w:rPr>
          <w:rFonts w:hint="eastAsia" w:ascii="仿宋_GB2312" w:hAnsi="方正仿宋_GB2312" w:eastAsia="仿宋_GB2312" w:cs="方正仿宋_GB2312"/>
          <w:sz w:val="32"/>
          <w:szCs w:val="32"/>
          <w:lang w:eastAsia="zh-CN"/>
        </w:rPr>
      </w:pPr>
      <w:r>
        <w:rPr>
          <w:rFonts w:hint="eastAsia" w:ascii="黑体" w:hAnsi="黑体" w:eastAsia="黑体" w:cs="方正仿宋_GB2312"/>
          <w:bCs/>
          <w:sz w:val="32"/>
          <w:szCs w:val="32"/>
        </w:rPr>
        <w:t xml:space="preserve">第十九条 </w:t>
      </w:r>
      <w:r>
        <w:rPr>
          <w:rFonts w:ascii="仿宋_GB2312" w:hAnsi="方正仿宋_GB2312" w:eastAsia="仿宋_GB2312" w:cs="方正仿宋_GB2312"/>
          <w:sz w:val="32"/>
          <w:szCs w:val="32"/>
        </w:rPr>
        <w:t>本办法由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市资规</w:t>
      </w:r>
      <w:r>
        <w:rPr>
          <w:rFonts w:ascii="仿宋_GB2312" w:hAnsi="方正仿宋_GB2312" w:eastAsia="仿宋_GB2312" w:cs="方正仿宋_GB2312"/>
          <w:sz w:val="32"/>
          <w:szCs w:val="32"/>
        </w:rPr>
        <w:t>局负责解释，自下发之日起执行</w:t>
      </w:r>
      <w:r>
        <w:rPr>
          <w:rFonts w:hint="eastAsia" w:ascii="仿宋_GB2312" w:hAnsi="方正仿宋_GB2312" w:eastAsia="仿宋_GB2312" w:cs="方正仿宋_GB2312"/>
          <w:sz w:val="32"/>
          <w:szCs w:val="32"/>
          <w:lang w:eastAsia="zh-CN"/>
        </w:rPr>
        <w:t>，有效期三年。</w:t>
      </w:r>
    </w:p>
    <w:p>
      <w:pPr>
        <w:spacing w:line="560" w:lineRule="exact"/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各乡（镇、街道）使用财政资金的建设项目，</w:t>
      </w:r>
      <w:r>
        <w:rPr>
          <w:rFonts w:ascii="仿宋_GB2312" w:hAnsi="方正仿宋_GB2312" w:eastAsia="仿宋_GB2312" w:cs="方正仿宋_GB2312"/>
          <w:sz w:val="32"/>
          <w:szCs w:val="32"/>
        </w:rPr>
        <w:t>可参照本办法执行。</w:t>
      </w:r>
    </w:p>
    <w:p>
      <w:pPr>
        <w:spacing w:line="560" w:lineRule="exact"/>
        <w:ind w:firstLine="640" w:firstLineChars="200"/>
        <w:rPr>
          <w:rFonts w:ascii="宋体" w:hAnsi="宋体" w:eastAsia="宋体" w:cs="宋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宋体" w:hAnsi="宋体" w:eastAsia="宋体" w:cs="宋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  <w:sectPr>
          <w:pgSz w:w="11906" w:h="16838"/>
          <w:pgMar w:top="1418" w:right="1418" w:bottom="1418" w:left="1418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附件：长垣市政府投资项目土方量情况统计表</w:t>
      </w:r>
    </w:p>
    <w:p>
      <w:pPr>
        <w:spacing w:line="560" w:lineRule="exact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11"/>
          <w:sz w:val="31"/>
          <w:szCs w:val="31"/>
        </w:rPr>
        <w:t>附</w:t>
      </w:r>
      <w:r>
        <w:rPr>
          <w:rFonts w:ascii="黑体" w:hAnsi="黑体" w:eastAsia="黑体" w:cs="黑体"/>
          <w:spacing w:val="10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-11"/>
          <w:sz w:val="31"/>
          <w:szCs w:val="31"/>
        </w:rPr>
        <w:t>件</w:t>
      </w:r>
    </w:p>
    <w:p>
      <w:pPr>
        <w:spacing w:line="560" w:lineRule="exact"/>
        <w:jc w:val="center"/>
        <w:outlineLvl w:val="0"/>
        <w:rPr>
          <w:rFonts w:ascii="Arial"/>
        </w:rPr>
      </w:pPr>
      <w:r>
        <w:rPr>
          <w:rFonts w:hint="eastAsia" w:ascii="宋体" w:hAnsi="宋体" w:cs="宋体"/>
          <w:b/>
          <w:bCs/>
          <w:spacing w:val="5"/>
          <w:position w:val="2"/>
          <w:sz w:val="43"/>
          <w:szCs w:val="43"/>
        </w:rPr>
        <w:t>长垣市</w:t>
      </w:r>
      <w:r>
        <w:rPr>
          <w:rFonts w:ascii="宋体" w:hAnsi="宋体" w:cs="宋体"/>
          <w:b/>
          <w:bCs/>
          <w:spacing w:val="5"/>
          <w:position w:val="2"/>
          <w:sz w:val="43"/>
          <w:szCs w:val="43"/>
        </w:rPr>
        <w:t>政府投资项目土方量情况统计表</w:t>
      </w:r>
    </w:p>
    <w:p>
      <w:pPr>
        <w:pStyle w:val="2"/>
        <w:spacing w:line="560" w:lineRule="exact"/>
        <w:rPr>
          <w:sz w:val="28"/>
          <w:szCs w:val="28"/>
        </w:rPr>
      </w:pPr>
      <w:r>
        <w:rPr>
          <w:spacing w:val="-2"/>
          <w:sz w:val="28"/>
          <w:szCs w:val="28"/>
        </w:rPr>
        <w:t>填报单位</w:t>
      </w:r>
      <w:r>
        <w:rPr>
          <w:spacing w:val="-4"/>
          <w:sz w:val="28"/>
          <w:szCs w:val="28"/>
        </w:rPr>
        <w:t>：（</w:t>
      </w:r>
      <w:r>
        <w:rPr>
          <w:spacing w:val="-2"/>
          <w:sz w:val="28"/>
          <w:szCs w:val="28"/>
        </w:rPr>
        <w:t xml:space="preserve">盖章）               </w:t>
      </w:r>
      <w:r>
        <w:rPr>
          <w:spacing w:val="-3"/>
          <w:sz w:val="28"/>
          <w:szCs w:val="28"/>
        </w:rPr>
        <w:t xml:space="preserve">                                       填报时间：     年   月    日</w:t>
      </w:r>
    </w:p>
    <w:p>
      <w:pPr>
        <w:spacing w:line="560" w:lineRule="exact"/>
      </w:pPr>
    </w:p>
    <w:tbl>
      <w:tblPr>
        <w:tblStyle w:val="5"/>
        <w:tblW w:w="1442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7"/>
        <w:gridCol w:w="1202"/>
        <w:gridCol w:w="1203"/>
        <w:gridCol w:w="1585"/>
        <w:gridCol w:w="1712"/>
        <w:gridCol w:w="1125"/>
        <w:gridCol w:w="1511"/>
        <w:gridCol w:w="1374"/>
        <w:gridCol w:w="1113"/>
        <w:gridCol w:w="1075"/>
        <w:gridCol w:w="1125"/>
        <w:gridCol w:w="73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667" w:type="dxa"/>
          </w:tcPr>
          <w:p>
            <w:pPr>
              <w:pStyle w:val="10"/>
              <w:spacing w:line="560" w:lineRule="exact"/>
              <w:rPr>
                <w:lang w:eastAsia="zh-CN"/>
              </w:rPr>
            </w:pPr>
          </w:p>
          <w:p>
            <w:pPr>
              <w:spacing w:line="560" w:lineRule="exact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序号</w:t>
            </w:r>
          </w:p>
        </w:tc>
        <w:tc>
          <w:tcPr>
            <w:tcW w:w="1202" w:type="dxa"/>
          </w:tcPr>
          <w:p>
            <w:pPr>
              <w:pStyle w:val="10"/>
              <w:spacing w:line="560" w:lineRule="exact"/>
            </w:pPr>
          </w:p>
          <w:p>
            <w:pPr>
              <w:spacing w:line="560" w:lineRule="exact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项目名称</w:t>
            </w:r>
          </w:p>
        </w:tc>
        <w:tc>
          <w:tcPr>
            <w:tcW w:w="1203" w:type="dxa"/>
          </w:tcPr>
          <w:p>
            <w:pPr>
              <w:pStyle w:val="10"/>
              <w:spacing w:line="560" w:lineRule="exact"/>
            </w:pPr>
          </w:p>
          <w:p>
            <w:pPr>
              <w:spacing w:line="560" w:lineRule="exact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项目位置</w:t>
            </w:r>
          </w:p>
        </w:tc>
        <w:tc>
          <w:tcPr>
            <w:tcW w:w="1585" w:type="dxa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开挖土方量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"/>
                <w:sz w:val="20"/>
                <w:szCs w:val="20"/>
              </w:rPr>
              <w:t>（万立方米）</w:t>
            </w:r>
          </w:p>
        </w:tc>
        <w:tc>
          <w:tcPr>
            <w:tcW w:w="1712" w:type="dxa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可供应土方量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"/>
                <w:sz w:val="20"/>
                <w:szCs w:val="20"/>
              </w:rPr>
              <w:t>（万立方米）</w:t>
            </w:r>
          </w:p>
        </w:tc>
        <w:tc>
          <w:tcPr>
            <w:tcW w:w="1125" w:type="dxa"/>
          </w:tcPr>
          <w:p>
            <w:pPr>
              <w:pStyle w:val="10"/>
              <w:spacing w:line="560" w:lineRule="exact"/>
              <w:rPr>
                <w:lang w:eastAsia="zh-CN"/>
              </w:rPr>
            </w:pPr>
          </w:p>
          <w:p>
            <w:pPr>
              <w:spacing w:line="560" w:lineRule="exact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6"/>
                <w:sz w:val="20"/>
                <w:szCs w:val="20"/>
              </w:rPr>
              <w:t>开工时间</w:t>
            </w:r>
          </w:p>
        </w:tc>
        <w:tc>
          <w:tcPr>
            <w:tcW w:w="1511" w:type="dxa"/>
          </w:tcPr>
          <w:p>
            <w:pPr>
              <w:pStyle w:val="10"/>
              <w:spacing w:line="560" w:lineRule="exact"/>
            </w:pPr>
          </w:p>
          <w:p>
            <w:pPr>
              <w:spacing w:line="560" w:lineRule="exact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变更开工时间</w:t>
            </w:r>
          </w:p>
        </w:tc>
        <w:tc>
          <w:tcPr>
            <w:tcW w:w="1374" w:type="dxa"/>
          </w:tcPr>
          <w:p>
            <w:pPr>
              <w:pStyle w:val="10"/>
              <w:spacing w:line="560" w:lineRule="exact"/>
            </w:pPr>
          </w:p>
          <w:p>
            <w:pPr>
              <w:spacing w:line="560" w:lineRule="exact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8"/>
                <w:sz w:val="20"/>
                <w:szCs w:val="20"/>
              </w:rPr>
              <w:t>项目负责人</w:t>
            </w:r>
          </w:p>
        </w:tc>
        <w:tc>
          <w:tcPr>
            <w:tcW w:w="1113" w:type="dxa"/>
          </w:tcPr>
          <w:p>
            <w:pPr>
              <w:pStyle w:val="10"/>
              <w:spacing w:line="560" w:lineRule="exact"/>
            </w:pPr>
          </w:p>
          <w:p>
            <w:pPr>
              <w:spacing w:line="560" w:lineRule="exact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联系电话</w:t>
            </w:r>
          </w:p>
        </w:tc>
        <w:tc>
          <w:tcPr>
            <w:tcW w:w="1075" w:type="dxa"/>
          </w:tcPr>
          <w:p>
            <w:pPr>
              <w:spacing w:line="560" w:lineRule="exact"/>
              <w:ind w:hanging="103"/>
              <w:jc w:val="center"/>
              <w:rPr>
                <w:rFonts w:ascii="黑体" w:hAnsi="黑体" w:eastAsia="黑体" w:cs="黑体"/>
                <w:spacing w:val="6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6"/>
                <w:sz w:val="20"/>
                <w:szCs w:val="20"/>
              </w:rPr>
              <w:t>主管部门</w:t>
            </w:r>
          </w:p>
          <w:p>
            <w:pPr>
              <w:spacing w:line="560" w:lineRule="exact"/>
              <w:ind w:hanging="103"/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6"/>
                <w:sz w:val="20"/>
                <w:szCs w:val="20"/>
              </w:rPr>
              <w:t>负责人</w:t>
            </w:r>
          </w:p>
        </w:tc>
        <w:tc>
          <w:tcPr>
            <w:tcW w:w="1125" w:type="dxa"/>
          </w:tcPr>
          <w:p>
            <w:pPr>
              <w:pStyle w:val="10"/>
              <w:spacing w:line="560" w:lineRule="exact"/>
            </w:pPr>
          </w:p>
          <w:p>
            <w:pPr>
              <w:spacing w:line="560" w:lineRule="exact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联系电话</w:t>
            </w:r>
          </w:p>
        </w:tc>
        <w:tc>
          <w:tcPr>
            <w:tcW w:w="730" w:type="dxa"/>
          </w:tcPr>
          <w:p>
            <w:pPr>
              <w:pStyle w:val="10"/>
              <w:spacing w:line="560" w:lineRule="exact"/>
            </w:pPr>
          </w:p>
          <w:p>
            <w:pPr>
              <w:spacing w:line="560" w:lineRule="exact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667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202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203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585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712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125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511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374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113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075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125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730" w:type="dxa"/>
          </w:tcPr>
          <w:p>
            <w:pPr>
              <w:pStyle w:val="10"/>
              <w:spacing w:line="560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667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202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203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585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712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125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511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374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113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075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125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730" w:type="dxa"/>
          </w:tcPr>
          <w:p>
            <w:pPr>
              <w:pStyle w:val="10"/>
              <w:spacing w:line="560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03" w:hRule="atLeast"/>
        </w:trPr>
        <w:tc>
          <w:tcPr>
            <w:tcW w:w="667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202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203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585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712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125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511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374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113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075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125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730" w:type="dxa"/>
          </w:tcPr>
          <w:p>
            <w:pPr>
              <w:pStyle w:val="10"/>
              <w:spacing w:line="560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667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202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203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585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712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125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511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374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113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075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1125" w:type="dxa"/>
          </w:tcPr>
          <w:p>
            <w:pPr>
              <w:pStyle w:val="10"/>
              <w:spacing w:line="560" w:lineRule="exact"/>
            </w:pPr>
          </w:p>
        </w:tc>
        <w:tc>
          <w:tcPr>
            <w:tcW w:w="730" w:type="dxa"/>
          </w:tcPr>
          <w:p>
            <w:pPr>
              <w:pStyle w:val="10"/>
              <w:spacing w:line="560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14422" w:type="dxa"/>
            <w:gridSpan w:val="12"/>
          </w:tcPr>
          <w:p>
            <w:pPr>
              <w:spacing w:line="560" w:lineRule="exact"/>
              <w:rPr>
                <w:rFonts w:ascii="宋体" w:hAnsi="宋体" w:cs="宋体"/>
                <w:sz w:val="23"/>
                <w:szCs w:val="23"/>
              </w:rPr>
            </w:pPr>
            <w:r>
              <w:rPr>
                <w:rFonts w:hint="eastAsia" w:ascii="宋体" w:hAnsi="宋体" w:cs="宋体"/>
                <w:b/>
                <w:bCs/>
                <w:spacing w:val="4"/>
                <w:sz w:val="23"/>
                <w:szCs w:val="23"/>
              </w:rPr>
              <w:t>说明：</w:t>
            </w:r>
            <w:r>
              <w:rPr>
                <w:rFonts w:hint="eastAsia" w:ascii="宋体" w:hAnsi="宋体" w:cs="宋体"/>
                <w:spacing w:val="4"/>
                <w:sz w:val="23"/>
                <w:szCs w:val="23"/>
              </w:rPr>
              <w:t>1.此表由项目主管（建设）单位负责填报，于项目开工前20日内报市资源规划局备案，开工</w:t>
            </w:r>
            <w:r>
              <w:rPr>
                <w:rFonts w:hint="eastAsia" w:ascii="宋体" w:hAnsi="宋体" w:cs="宋体"/>
                <w:spacing w:val="3"/>
                <w:sz w:val="23"/>
                <w:szCs w:val="23"/>
              </w:rPr>
              <w:t>时间发生变化的，及时更新上报信息。</w:t>
            </w:r>
          </w:p>
          <w:p>
            <w:pPr>
              <w:spacing w:line="560" w:lineRule="exact"/>
              <w:ind w:firstLine="696" w:firstLineChars="300"/>
              <w:rPr>
                <w:rFonts w:ascii="新宋体" w:hAnsi="新宋体" w:cs="新宋体"/>
                <w:sz w:val="23"/>
                <w:szCs w:val="23"/>
              </w:rPr>
            </w:pPr>
            <w:r>
              <w:rPr>
                <w:rFonts w:hint="eastAsia" w:ascii="宋体" w:hAnsi="宋体" w:cs="宋体"/>
                <w:spacing w:val="1"/>
                <w:sz w:val="23"/>
                <w:szCs w:val="23"/>
              </w:rPr>
              <w:t>2.联系电话：0373-8885279</w:t>
            </w:r>
            <w:r>
              <w:rPr>
                <w:rFonts w:hint="eastAsia" w:ascii="宋体" w:hAnsi="宋体" w:cs="宋体"/>
                <w:sz w:val="23"/>
                <w:szCs w:val="23"/>
              </w:rPr>
              <w:t xml:space="preserve">  邮箱：cyxlyk@163.com</w:t>
            </w:r>
          </w:p>
        </w:tc>
      </w:tr>
    </w:tbl>
    <w:p>
      <w:pPr>
        <w:pStyle w:val="2"/>
        <w:spacing w:line="560" w:lineRule="exact"/>
        <w:rPr>
          <w:spacing w:val="-8"/>
          <w:sz w:val="28"/>
          <w:szCs w:val="28"/>
        </w:rPr>
      </w:pPr>
      <w:r>
        <w:rPr>
          <w:spacing w:val="-8"/>
          <w:sz w:val="28"/>
          <w:szCs w:val="28"/>
        </w:rPr>
        <w:t>填表人：</w:t>
      </w:r>
      <w:r>
        <w:rPr>
          <w:sz w:val="28"/>
          <w:szCs w:val="28"/>
        </w:rPr>
        <w:t xml:space="preserve">                           </w:t>
      </w:r>
      <w:r>
        <w:rPr>
          <w:spacing w:val="-8"/>
          <w:sz w:val="28"/>
          <w:szCs w:val="28"/>
        </w:rPr>
        <w:t>联系</w:t>
      </w:r>
      <w:r>
        <w:rPr>
          <w:rFonts w:hint="eastAsia"/>
          <w:spacing w:val="-8"/>
          <w:sz w:val="28"/>
          <w:szCs w:val="28"/>
        </w:rPr>
        <w:t>电话：</w:t>
      </w:r>
    </w:p>
    <w:p>
      <w:pPr>
        <w:spacing w:line="560" w:lineRule="exact"/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___WRD_EMBED_SUB_39">
    <w:altName w:val="Noto Serif CJK JP ExtraLight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Noto Serif CJK JP ExtraLight">
    <w:panose1 w:val="02020200000000000000"/>
    <w:charset w:val="86"/>
    <w:family w:val="auto"/>
    <w:pitch w:val="default"/>
    <w:sig w:usb0="30000083" w:usb1="2BDF3C10" w:usb2="00000016" w:usb3="00000000" w:csb0="602E0107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roid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GYzMzM2YmZiYTNlZmIwMGEzMDNmNjc5ZjI5OGVkNmYifQ=="/>
    <w:docVar w:name="KSO_WPS_MARK_KEY" w:val="ee061d96-2915-4a27-a05b-79781605c4ff"/>
  </w:docVars>
  <w:rsids>
    <w:rsidRoot w:val="3EFC2CCC"/>
    <w:rsid w:val="00017BE5"/>
    <w:rsid w:val="00030212"/>
    <w:rsid w:val="00092E28"/>
    <w:rsid w:val="00190D72"/>
    <w:rsid w:val="001B3C2A"/>
    <w:rsid w:val="002761EF"/>
    <w:rsid w:val="00296FCB"/>
    <w:rsid w:val="002B635D"/>
    <w:rsid w:val="002D6D8C"/>
    <w:rsid w:val="003C3A4F"/>
    <w:rsid w:val="004075EC"/>
    <w:rsid w:val="004126EC"/>
    <w:rsid w:val="004467AD"/>
    <w:rsid w:val="005D144E"/>
    <w:rsid w:val="005E265E"/>
    <w:rsid w:val="005E332E"/>
    <w:rsid w:val="00764D1D"/>
    <w:rsid w:val="00783142"/>
    <w:rsid w:val="007B3ACA"/>
    <w:rsid w:val="007E2495"/>
    <w:rsid w:val="008700F0"/>
    <w:rsid w:val="00907552"/>
    <w:rsid w:val="00961024"/>
    <w:rsid w:val="0098300C"/>
    <w:rsid w:val="009E3D34"/>
    <w:rsid w:val="00A47D1B"/>
    <w:rsid w:val="00A963FE"/>
    <w:rsid w:val="00AA105C"/>
    <w:rsid w:val="00AA42CD"/>
    <w:rsid w:val="00AD195B"/>
    <w:rsid w:val="00B144B3"/>
    <w:rsid w:val="00B674CD"/>
    <w:rsid w:val="00BF29A3"/>
    <w:rsid w:val="00C673FF"/>
    <w:rsid w:val="00C860A9"/>
    <w:rsid w:val="00D306A9"/>
    <w:rsid w:val="00D62457"/>
    <w:rsid w:val="00D80298"/>
    <w:rsid w:val="00D81FD3"/>
    <w:rsid w:val="00DF5516"/>
    <w:rsid w:val="00E6154F"/>
    <w:rsid w:val="00E66821"/>
    <w:rsid w:val="00E85500"/>
    <w:rsid w:val="00ED3294"/>
    <w:rsid w:val="00F01A88"/>
    <w:rsid w:val="00F66638"/>
    <w:rsid w:val="00F9078C"/>
    <w:rsid w:val="02053328"/>
    <w:rsid w:val="0B6158EF"/>
    <w:rsid w:val="0CC775B4"/>
    <w:rsid w:val="0F565BA9"/>
    <w:rsid w:val="14D47131"/>
    <w:rsid w:val="15270480"/>
    <w:rsid w:val="20CC78A0"/>
    <w:rsid w:val="272F56D5"/>
    <w:rsid w:val="297351F3"/>
    <w:rsid w:val="2AF66165"/>
    <w:rsid w:val="2BB0186A"/>
    <w:rsid w:val="2C4717C7"/>
    <w:rsid w:val="30AE4883"/>
    <w:rsid w:val="37E650B9"/>
    <w:rsid w:val="3D3954D4"/>
    <w:rsid w:val="3EFC2CCC"/>
    <w:rsid w:val="46804D2C"/>
    <w:rsid w:val="46B53D11"/>
    <w:rsid w:val="48B221A3"/>
    <w:rsid w:val="51F07D1F"/>
    <w:rsid w:val="5C0E3654"/>
    <w:rsid w:val="5E4F0D3F"/>
    <w:rsid w:val="5FE6655F"/>
    <w:rsid w:val="60545FFD"/>
    <w:rsid w:val="64DB6C51"/>
    <w:rsid w:val="66952ECC"/>
    <w:rsid w:val="698860FB"/>
    <w:rsid w:val="6D6F091A"/>
    <w:rsid w:val="702835AD"/>
    <w:rsid w:val="708B54B7"/>
    <w:rsid w:val="773504DF"/>
    <w:rsid w:val="7F352363"/>
    <w:rsid w:val="7F4D01F9"/>
    <w:rsid w:val="BE7FC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0">
    <w:name w:val="Table Text"/>
    <w:basedOn w:val="1"/>
    <w:semiHidden/>
    <w:qFormat/>
    <w:uiPriority w:val="0"/>
    <w:rPr>
      <w:rFonts w:ascii="Arial" w:hAnsi="Arial" w:eastAsia="Arial" w:cs="Arial"/>
      <w:szCs w:val="21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1922</Words>
  <Characters>1953</Characters>
  <Lines>16</Lines>
  <Paragraphs>4</Paragraphs>
  <TotalTime>7</TotalTime>
  <ScaleCrop>false</ScaleCrop>
  <LinksUpToDate>false</LinksUpToDate>
  <CharactersWithSpaces>2087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2025-03-07T11:14:00Z</dcterms:created>
  <dc:creator>小田园</dc:creator>
  <cp:lastModifiedBy>administrator</cp:lastModifiedBy>
  <cp:lastPrinted>2025-03-27T11:58:00Z</cp:lastPrinted>
  <dcterms:modified xsi:type="dcterms:W3CDTF">2025-12-10T09:24:34Z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EC22AA3C5D724AB8851D5CEE74A44AA8_13</vt:lpwstr>
  </property>
  <property fmtid="{D5CDD505-2E9C-101B-9397-08002B2CF9AE}" pid="4" name="KSOTemplateDocerSaveRecord">
    <vt:lpwstr>eyJoZGlkIjoiOTRmNWJjNGNhYTBhZjljYTU0YjI4NzM0NjUyYjFjY2QiLCJ1c2VySWQiOiIzMDI1OTgyNzMifQ==</vt:lpwstr>
  </property>
</Properties>
</file>