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DFB58">
      <w:pPr>
        <w:keepNext w:val="0"/>
        <w:keepLines w:val="0"/>
        <w:pageBreakBefore w:val="0"/>
        <w:kinsoku/>
        <w:wordWrap/>
        <w:overflowPunct/>
        <w:topLinePunct w:val="0"/>
        <w:autoSpaceDE/>
        <w:autoSpaceDN/>
        <w:bidi w:val="0"/>
        <w:spacing w:line="560" w:lineRule="exact"/>
        <w:ind w:left="0" w:leftChars="0" w:right="0"/>
        <w:jc w:val="center"/>
        <w:textAlignment w:val="auto"/>
        <w:rPr>
          <w:rFonts w:ascii="Times New Roman" w:hAnsi="Times New Roman" w:eastAsia="方正小标宋简体"/>
          <w:sz w:val="44"/>
          <w:szCs w:val="44"/>
          <w:lang w:val="en-US" w:eastAsia="zh-CN"/>
        </w:rPr>
      </w:pPr>
      <w:bookmarkStart w:id="2" w:name="_GoBack"/>
      <w:r>
        <w:rPr>
          <w:rFonts w:ascii="Times New Roman" w:hAnsi="Times New Roman" w:eastAsia="方正小标宋简体"/>
          <w:sz w:val="44"/>
          <w:szCs w:val="44"/>
          <w:lang w:val="en-US" w:eastAsia="zh-CN"/>
        </w:rPr>
        <w:t>关于《</w:t>
      </w:r>
      <w:r>
        <w:rPr>
          <w:rFonts w:hint="eastAsia" w:ascii="方正小标宋简体" w:hAnsi="方正小标宋简体" w:eastAsia="方正小标宋简体" w:cs="方正小标宋简体"/>
          <w:bCs/>
          <w:sz w:val="44"/>
          <w:szCs w:val="44"/>
          <w:lang w:eastAsia="zh-CN"/>
        </w:rPr>
        <w:t>长垣市切实做好保交房工作总体方案</w:t>
      </w:r>
      <w:r>
        <w:rPr>
          <w:rFonts w:hint="eastAsia" w:ascii="方正小标宋简体" w:hAnsi="方正小标宋简体" w:eastAsia="方正小标宋简体" w:cs="方正小标宋简体"/>
          <w:kern w:val="0"/>
          <w:sz w:val="44"/>
          <w:szCs w:val="44"/>
          <w:lang w:val="en-US" w:eastAsia="zh-CN"/>
        </w:rPr>
        <w:t>（征求意见稿）</w:t>
      </w:r>
      <w:r>
        <w:rPr>
          <w:rFonts w:ascii="Times New Roman" w:hAnsi="Times New Roman" w:eastAsia="方正小标宋简体"/>
          <w:sz w:val="44"/>
          <w:szCs w:val="44"/>
          <w:lang w:val="en-US" w:eastAsia="zh-CN"/>
        </w:rPr>
        <w:t>》政策解读</w:t>
      </w:r>
    </w:p>
    <w:bookmarkEnd w:id="2"/>
    <w:p w14:paraId="6AF5F086">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黑体" w:hAnsi="黑体" w:eastAsia="黑体" w:cs="黑体"/>
          <w:sz w:val="44"/>
          <w:szCs w:val="44"/>
        </w:rPr>
      </w:pPr>
    </w:p>
    <w:p w14:paraId="17451AAA">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制定背景</w:t>
      </w:r>
    </w:p>
    <w:p w14:paraId="4460AEFA">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为深入贯彻落实党中央、国务院保交房决策部署和省委、省政府</w:t>
      </w:r>
      <w:bookmarkStart w:id="0" w:name="OLE_LINK3"/>
      <w:r>
        <w:rPr>
          <w:rFonts w:hint="eastAsia" w:ascii="仿宋_GB2312" w:hAnsi="仿宋_GB2312" w:eastAsia="仿宋_GB2312" w:cs="仿宋_GB2312"/>
          <w:sz w:val="32"/>
          <w:szCs w:val="32"/>
          <w:lang w:eastAsia="zh-CN"/>
        </w:rPr>
        <w:t>及市委、市政府</w:t>
      </w:r>
      <w:bookmarkEnd w:id="0"/>
      <w:r>
        <w:rPr>
          <w:rFonts w:hint="eastAsia" w:ascii="仿宋_GB2312" w:hAnsi="仿宋_GB2312" w:eastAsia="仿宋_GB2312" w:cs="仿宋_GB2312"/>
          <w:sz w:val="32"/>
          <w:szCs w:val="32"/>
          <w:lang w:eastAsia="zh-CN"/>
        </w:rPr>
        <w:t>的工作要求，根据国务院办公厅《关于转发住房城乡建设部、自然资源部、中国人民银行、金融监管总局〈切实做好保交房工作总体方案〉的通知》（国办发〔2024〕26号）和省委、省政府、市委、市政府有关精神，切实做好我市处置商品住房烂尾风险、消化存量商品房、处置闲置存量土地等重点工作（统称保交房工作），促进我市房地产市场平稳健康发展。</w:t>
      </w:r>
    </w:p>
    <w:p w14:paraId="44796E7F">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val="en-US" w:eastAsia="zh-CN"/>
        </w:rPr>
        <w:t>制定目的</w:t>
      </w:r>
    </w:p>
    <w:p w14:paraId="19F51D2C">
      <w:pPr>
        <w:keepNext w:val="0"/>
        <w:keepLines w:val="0"/>
        <w:pageBreakBefore w:val="0"/>
        <w:widowControl w:val="0"/>
        <w:kinsoku/>
        <w:overflowPunct/>
        <w:topLinePunct w:val="0"/>
        <w:autoSpaceDE/>
        <w:autoSpaceDN/>
        <w:bidi w:val="0"/>
        <w:adjustRightInd/>
        <w:snapToGrid/>
        <w:spacing w:line="540" w:lineRule="exact"/>
        <w:ind w:firstLine="640" w:firstLineChars="200"/>
        <w:jc w:val="both"/>
        <w:textAlignment w:val="auto"/>
        <w:rPr>
          <w:rFonts w:ascii="宋体" w:hAnsi="宋体" w:eastAsia="仿宋_GB2312" w:cs="仿宋_GB2312"/>
          <w:color w:val="auto"/>
          <w:sz w:val="32"/>
          <w:szCs w:val="32"/>
          <w:lang w:eastAsia="zh-CN"/>
        </w:rPr>
      </w:pPr>
      <w:r>
        <w:rPr>
          <w:rFonts w:hint="eastAsia" w:ascii="宋体" w:hAnsi="宋体" w:eastAsia="仿宋_GB2312" w:cs="仿宋_GB2312"/>
          <w:color w:val="auto"/>
          <w:sz w:val="32"/>
          <w:szCs w:val="32"/>
          <w:lang w:eastAsia="zh-CN"/>
        </w:rPr>
        <w:t>认真落实党中央、国务院的决策部署和省委、省政府及市委、市政府关于房地产工作的要求，顺应房地产市场供求关系发生重大变化的新形势，坚持目标导向和问题导向，聚焦“短期防风险、中长期转模式”的目标，直面房地产领域当前存在的突出问题，坚持因城施策，压实市房地产融资协调机制、房地产企业、金融机构各方责任，切实做好保交房工作，打好商品住房项目保交房攻坚战，防止出现烂尾风险，保障购房人合法权益，结合保障性住房需求推动已建成存量商品房去库存，妥善处置闲置存量土地，稳妥应对房地产企业总部债务违约风险，推进“三大工程”建设，稳定社会预期，提振市场信心，促进我市房地产高质量发展。</w:t>
      </w:r>
    </w:p>
    <w:p w14:paraId="427E2584">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三、主要制定</w:t>
      </w:r>
      <w:r>
        <w:rPr>
          <w:rFonts w:hint="eastAsia" w:ascii="黑体" w:hAnsi="黑体" w:eastAsia="黑体" w:cs="黑体"/>
          <w:sz w:val="32"/>
          <w:szCs w:val="32"/>
        </w:rPr>
        <w:t>依据</w:t>
      </w:r>
    </w:p>
    <w:p w14:paraId="2154F0AE">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国务院办公厅《关于转发住房城乡建设部、自然资源部、中国人民银行、金融监管总局〈切实做好保交房工作总体方案〉的通知》（国办发〔2024〕26号）。</w:t>
      </w:r>
    </w:p>
    <w:p w14:paraId="7F0A1AC2">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sz w:val="32"/>
          <w:szCs w:val="32"/>
          <w:lang w:val="en-US" w:eastAsia="zh-CN"/>
        </w:rPr>
        <w:t>主要内容</w:t>
      </w:r>
    </w:p>
    <w:p w14:paraId="3A183086">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Cs/>
          <w:sz w:val="32"/>
          <w:szCs w:val="32"/>
          <w:lang w:eastAsia="zh-CN"/>
        </w:rPr>
      </w:pPr>
      <w:r>
        <w:rPr>
          <w:rFonts w:hint="eastAsia" w:ascii="楷体" w:hAnsi="楷体" w:eastAsia="楷体" w:cs="楷体"/>
          <w:bCs/>
          <w:sz w:val="32"/>
          <w:szCs w:val="32"/>
          <w:lang w:eastAsia="zh-CN"/>
        </w:rPr>
        <w:t>（</w:t>
      </w:r>
      <w:r>
        <w:rPr>
          <w:rFonts w:hint="eastAsia" w:ascii="楷体" w:hAnsi="楷体" w:eastAsia="楷体" w:cs="楷体"/>
          <w:bCs/>
          <w:sz w:val="32"/>
          <w:szCs w:val="32"/>
          <w:lang w:val="en-US" w:eastAsia="zh-CN"/>
        </w:rPr>
        <w:t>一</w:t>
      </w:r>
      <w:r>
        <w:rPr>
          <w:rFonts w:hint="eastAsia" w:ascii="楷体" w:hAnsi="楷体" w:eastAsia="楷体" w:cs="楷体"/>
          <w:bCs/>
          <w:sz w:val="32"/>
          <w:szCs w:val="32"/>
          <w:lang w:eastAsia="zh-CN"/>
        </w:rPr>
        <w:t>）工作目标</w:t>
      </w:r>
    </w:p>
    <w:p w14:paraId="7E12C27E">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3"/>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按时完成商品住房项目保交房任务。</w:t>
      </w:r>
      <w:r>
        <w:rPr>
          <w:rFonts w:hint="eastAsia" w:ascii="仿宋_GB2312" w:hAnsi="仿宋_GB2312" w:eastAsia="仿宋_GB2312" w:cs="仿宋_GB2312"/>
          <w:color w:val="333333"/>
          <w:sz w:val="32"/>
          <w:szCs w:val="32"/>
          <w:shd w:val="clear" w:color="auto" w:fill="FFFFFF"/>
        </w:rPr>
        <w:t>全面摸排在建已售未交付商品住宅项目，聚焦问题项目进行强力攻坚，充分发挥房地产融资协调机制作用，推动符合条件的项目纳入可给予融资支持的房地产项目名单（以下称“白名单”），“能进尽进”“应贷尽贷”，防止出现新的停工、烂尾风险，力争年底前保交房工作取得阶段性显著成效。</w:t>
      </w:r>
      <w:r>
        <w:rPr>
          <w:rFonts w:hint="eastAsia" w:ascii="仿宋_GB2312" w:hAnsi="仿宋_GB2312" w:eastAsia="仿宋_GB2312" w:cs="仿宋_GB2312"/>
          <w:color w:val="333333"/>
          <w:sz w:val="32"/>
          <w:szCs w:val="32"/>
          <w:u w:val="none"/>
          <w:shd w:val="clear" w:color="auto" w:fill="FFFFFF"/>
        </w:rPr>
        <w:t>2024年11月底前，全市列入保交房任务的商品住宅项目交付率完成80%以上，</w:t>
      </w:r>
      <w:r>
        <w:rPr>
          <w:rFonts w:hint="eastAsia" w:ascii="仿宋_GB2312" w:hAnsi="仿宋_GB2312" w:eastAsia="仿宋_GB2312" w:cs="仿宋_GB2312"/>
          <w:color w:val="333333"/>
          <w:sz w:val="32"/>
          <w:szCs w:val="32"/>
          <w:shd w:val="clear" w:color="auto" w:fill="FFFFFF"/>
        </w:rPr>
        <w:t>2024年12月底前，全市列入保交房任务的商品住宅项目交付率完成90%以上。</w:t>
      </w:r>
    </w:p>
    <w:p w14:paraId="76B378A4">
      <w:pPr>
        <w:keepNext w:val="0"/>
        <w:keepLines w:val="0"/>
        <w:pageBreakBefore w:val="0"/>
        <w:widowControl w:val="0"/>
        <w:kinsoku/>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lang w:eastAsia="zh-CN"/>
        </w:rPr>
        <w:t>收购存量商品房用作保障性住房。</w:t>
      </w:r>
      <w:r>
        <w:rPr>
          <w:rFonts w:hint="eastAsia" w:ascii="仿宋_GB2312" w:hAnsi="仿宋_GB2312" w:eastAsia="仿宋_GB2312" w:cs="仿宋_GB2312"/>
          <w:i w:val="0"/>
          <w:iCs w:val="0"/>
          <w:caps w:val="0"/>
          <w:snapToGrid w:val="0"/>
          <w:color w:val="333333"/>
          <w:spacing w:val="0"/>
          <w:kern w:val="0"/>
          <w:sz w:val="32"/>
          <w:szCs w:val="32"/>
          <w:shd w:val="clear" w:color="auto" w:fill="FFFFFF"/>
          <w:lang w:val="en-US" w:eastAsia="zh-CN" w:bidi="ar"/>
        </w:rPr>
        <w:t>坚持布局合理、配套完善、户型控制、套型合理、房源集中、便于管理、过程公开、结果公正的原则，面向全市房地产开发企业，公开收购符合条件并达到标准的普通商品住房。通过收购符合条件的商品房，增加保障性住房的房源供给，满足中低收入家庭及特定群体的住房需求，促进房地产市场的稳定健康发展。</w:t>
      </w:r>
    </w:p>
    <w:p w14:paraId="3CC31E40">
      <w:pPr>
        <w:keepNext w:val="0"/>
        <w:keepLines w:val="0"/>
        <w:pageBreakBefore w:val="0"/>
        <w:widowControl w:val="0"/>
        <w:kinsoku/>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b/>
          <w:color w:val="auto"/>
          <w:sz w:val="32"/>
          <w:szCs w:val="32"/>
          <w:lang w:val="en-US" w:eastAsia="zh-CN"/>
        </w:rPr>
        <w:t>3.</w:t>
      </w:r>
      <w:r>
        <w:rPr>
          <w:rFonts w:hint="eastAsia" w:ascii="仿宋_GB2312" w:hAnsi="仿宋_GB2312" w:eastAsia="仿宋_GB2312" w:cs="仿宋_GB2312"/>
          <w:b/>
          <w:color w:val="auto"/>
          <w:sz w:val="32"/>
          <w:szCs w:val="32"/>
          <w:lang w:eastAsia="zh-CN"/>
        </w:rPr>
        <w:t>处置闲置存量土地。</w:t>
      </w:r>
      <w:r>
        <w:rPr>
          <w:rFonts w:hint="eastAsia" w:ascii="仿宋_GB2312" w:hAnsi="仿宋_GB2312" w:eastAsia="仿宋_GB2312" w:cs="仿宋_GB2312"/>
          <w:color w:val="auto"/>
          <w:sz w:val="32"/>
          <w:szCs w:val="32"/>
          <w:lang w:eastAsia="zh-CN"/>
        </w:rPr>
        <w:t>充分利用《自然资源部、国家发展改革委关于实施妥善处置闲置存量土地若干政策措施的通知》（自然资发〔2024〕104号）政策，对2024年3月31日之前已供应，但目前尚未开工、已开工未竣工的房地产用地（包括住宅用地和商服用地），采取“一地一策”的政策，助力纾解、松绑企业困难，推进保交房工作。</w:t>
      </w:r>
    </w:p>
    <w:p w14:paraId="3F7A4732">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Cs/>
          <w:sz w:val="32"/>
          <w:szCs w:val="32"/>
          <w:lang w:eastAsia="zh-CN"/>
        </w:rPr>
      </w:pPr>
      <w:r>
        <w:rPr>
          <w:rFonts w:hint="eastAsia" w:ascii="楷体" w:hAnsi="楷体" w:eastAsia="楷体" w:cs="楷体"/>
          <w:bCs/>
          <w:sz w:val="32"/>
          <w:szCs w:val="32"/>
          <w:lang w:eastAsia="zh-CN"/>
        </w:rPr>
        <w:t>（</w:t>
      </w:r>
      <w:r>
        <w:rPr>
          <w:rFonts w:hint="eastAsia" w:ascii="楷体" w:hAnsi="楷体" w:eastAsia="楷体" w:cs="楷体"/>
          <w:bCs/>
          <w:sz w:val="32"/>
          <w:szCs w:val="32"/>
          <w:lang w:val="en-US" w:eastAsia="zh-CN"/>
        </w:rPr>
        <w:t>二</w:t>
      </w:r>
      <w:r>
        <w:rPr>
          <w:rFonts w:hint="eastAsia" w:ascii="楷体" w:hAnsi="楷体" w:eastAsia="楷体" w:cs="楷体"/>
          <w:bCs/>
          <w:sz w:val="32"/>
          <w:szCs w:val="32"/>
          <w:lang w:eastAsia="zh-CN"/>
        </w:rPr>
        <w:t>）工作措施</w:t>
      </w:r>
    </w:p>
    <w:p w14:paraId="19CC0AF4">
      <w:pPr>
        <w:keepNext w:val="0"/>
        <w:keepLines w:val="0"/>
        <w:pageBreakBefore w:val="0"/>
        <w:widowControl w:val="0"/>
        <w:kinsoku/>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lang w:eastAsia="zh-CN"/>
        </w:rPr>
        <w:t>打好商品住房项目保交房攻坚战。</w:t>
      </w:r>
      <w:r>
        <w:rPr>
          <w:rFonts w:hint="eastAsia" w:ascii="仿宋_GB2312" w:hAnsi="仿宋_GB2312" w:eastAsia="仿宋_GB2312" w:cs="仿宋_GB2312"/>
          <w:b w:val="0"/>
          <w:bCs/>
          <w:sz w:val="32"/>
          <w:szCs w:val="32"/>
          <w:lang w:val="en-US" w:eastAsia="zh-CN"/>
        </w:rPr>
        <w:t>包含10条措施，分别是：</w:t>
      </w:r>
      <w:r>
        <w:rPr>
          <w:rFonts w:hint="eastAsia" w:ascii="仿宋_GB2312" w:hAnsi="仿宋_GB2312" w:eastAsia="仿宋_GB2312" w:cs="仿宋_GB2312"/>
          <w:b w:val="0"/>
          <w:bCs/>
          <w:sz w:val="32"/>
          <w:szCs w:val="32"/>
          <w:lang w:eastAsia="zh-CN"/>
        </w:rPr>
        <w:t>明确项目范围；全面摸清底数；坚持分级分类处置；推动符合“白名单”项目能进尽进；鼓励政府收购支持；加大金融支持力度，满足符合要求的“白名单”项目合理融资需求；加强资金监管；加快不动产权证书办理；加强司法支持；压紧压实企业主体责任。</w:t>
      </w:r>
    </w:p>
    <w:p w14:paraId="138262D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lang w:eastAsia="zh-CN"/>
        </w:rPr>
        <w:t>推动已建成存量商品房去库存。</w:t>
      </w:r>
      <w:r>
        <w:rPr>
          <w:rFonts w:hint="eastAsia" w:ascii="仿宋_GB2312" w:hAnsi="仿宋_GB2312" w:eastAsia="仿宋_GB2312" w:cs="仿宋_GB2312"/>
          <w:sz w:val="32"/>
          <w:szCs w:val="32"/>
        </w:rPr>
        <w:t>收购</w:t>
      </w:r>
      <w:r>
        <w:rPr>
          <w:rFonts w:hint="eastAsia" w:ascii="仿宋_GB2312" w:hAnsi="仿宋_GB2312" w:eastAsia="仿宋_GB2312" w:cs="仿宋_GB2312"/>
          <w:sz w:val="32"/>
          <w:szCs w:val="32"/>
          <w:lang w:val="en-US" w:eastAsia="zh-CN"/>
        </w:rPr>
        <w:t>符合条件的</w:t>
      </w:r>
      <w:r>
        <w:rPr>
          <w:rFonts w:hint="eastAsia" w:ascii="仿宋_GB2312" w:hAnsi="仿宋_GB2312" w:eastAsia="仿宋_GB2312" w:cs="仿宋_GB2312"/>
          <w:sz w:val="32"/>
          <w:szCs w:val="32"/>
        </w:rPr>
        <w:t>存量商品房用作保障性住房</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lang w:val="en-US" w:eastAsia="zh-CN"/>
        </w:rPr>
        <w:t>依据房源情况</w:t>
      </w:r>
      <w:r>
        <w:rPr>
          <w:rFonts w:hint="eastAsia" w:ascii="仿宋_GB2312" w:hAnsi="仿宋_GB2312" w:eastAsia="仿宋_GB2312" w:cs="仿宋_GB2312"/>
          <w:sz w:val="32"/>
          <w:szCs w:val="32"/>
        </w:rPr>
        <w:t>拟定收购</w:t>
      </w:r>
      <w:r>
        <w:rPr>
          <w:rFonts w:hint="eastAsia" w:ascii="仿宋_GB2312" w:hAnsi="仿宋_GB2312" w:eastAsia="仿宋_GB2312" w:cs="仿宋_GB2312"/>
          <w:sz w:val="32"/>
          <w:szCs w:val="32"/>
          <w:lang w:val="en-US" w:eastAsia="zh-CN"/>
        </w:rPr>
        <w:t>计划</w:t>
      </w:r>
      <w:r>
        <w:rPr>
          <w:rFonts w:hint="eastAsia" w:ascii="仿宋_GB2312" w:hAnsi="仿宋_GB2312" w:eastAsia="仿宋_GB2312" w:cs="仿宋_GB2312"/>
          <w:sz w:val="32"/>
          <w:szCs w:val="32"/>
        </w:rPr>
        <w:t>，坚持“以需定购”，在</w:t>
      </w:r>
      <w:r>
        <w:rPr>
          <w:rFonts w:hint="eastAsia" w:ascii="仿宋_GB2312" w:hAnsi="仿宋_GB2312" w:eastAsia="仿宋_GB2312" w:cs="仿宋_GB2312"/>
          <w:sz w:val="32"/>
          <w:szCs w:val="32"/>
          <w:lang w:val="en-US" w:eastAsia="zh-CN"/>
        </w:rPr>
        <w:t>我市</w:t>
      </w:r>
      <w:r>
        <w:rPr>
          <w:rFonts w:hint="eastAsia" w:ascii="仿宋_GB2312" w:hAnsi="仿宋_GB2312" w:eastAsia="仿宋_GB2312" w:cs="仿宋_GB2312"/>
          <w:sz w:val="32"/>
          <w:szCs w:val="32"/>
        </w:rPr>
        <w:t>保障性住房需求的基础上，合理确定可用作保障性住房的商品房房源、配售租赁价格</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对收购的保障性住房进行统一管理和维护，确保房屋质量和居住环境。</w:t>
      </w:r>
    </w:p>
    <w:p w14:paraId="5B2703B5">
      <w:pPr>
        <w:keepNext w:val="0"/>
        <w:keepLines w:val="0"/>
        <w:pageBreakBefore w:val="0"/>
        <w:widowControl w:val="0"/>
        <w:kinsoku/>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lang w:eastAsia="zh-CN"/>
        </w:rPr>
        <w:t>妥善处置闲置存量土地。</w:t>
      </w:r>
      <w:r>
        <w:rPr>
          <w:rFonts w:hint="eastAsia" w:ascii="仿宋_GB2312" w:hAnsi="仿宋_GB2312" w:eastAsia="仿宋_GB2312" w:cs="仿宋_GB2312"/>
          <w:color w:val="auto"/>
          <w:sz w:val="32"/>
          <w:szCs w:val="32"/>
          <w:lang w:eastAsia="zh-CN"/>
        </w:rPr>
        <w:t>以纾困、盘活为目的，做好房地产企业闲置土地处置工作。</w:t>
      </w:r>
      <w:r>
        <w:rPr>
          <w:rFonts w:hint="eastAsia" w:ascii="仿宋_GB2312" w:hAnsi="仿宋_GB2312" w:eastAsia="仿宋_GB2312" w:cs="仿宋_GB2312"/>
          <w:b w:val="0"/>
          <w:bCs/>
          <w:sz w:val="32"/>
          <w:szCs w:val="32"/>
          <w:lang w:val="en-US" w:eastAsia="zh-CN"/>
        </w:rPr>
        <w:t>包含3条措施，分别是：</w:t>
      </w:r>
      <w:r>
        <w:rPr>
          <w:rFonts w:hint="eastAsia" w:ascii="仿宋_GB2312" w:hAnsi="仿宋_GB2312" w:eastAsia="仿宋_GB2312" w:cs="仿宋_GB2312"/>
          <w:b w:val="0"/>
          <w:bCs/>
          <w:color w:val="auto"/>
          <w:sz w:val="32"/>
          <w:szCs w:val="32"/>
          <w:lang w:eastAsia="zh-CN"/>
        </w:rPr>
        <w:t>促进开发利用；收回收购土地；重新签订协议。</w:t>
      </w:r>
    </w:p>
    <w:p w14:paraId="734B9977">
      <w:pPr>
        <w:keepNext w:val="0"/>
        <w:keepLines w:val="0"/>
        <w:pageBreakBefore w:val="0"/>
        <w:widowControl w:val="0"/>
        <w:kinsoku/>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sz w:val="32"/>
          <w:szCs w:val="32"/>
          <w:u w:val="none"/>
          <w:lang w:eastAsia="zh-CN"/>
        </w:rPr>
      </w:pPr>
      <w:r>
        <w:rPr>
          <w:rFonts w:hint="eastAsia" w:ascii="仿宋_GB2312" w:hAnsi="仿宋_GB2312" w:eastAsia="仿宋_GB2312" w:cs="仿宋_GB2312"/>
          <w:b/>
          <w:sz w:val="32"/>
          <w:szCs w:val="32"/>
          <w:u w:val="none"/>
          <w:lang w:val="en-US" w:eastAsia="zh-CN"/>
        </w:rPr>
        <w:t>4.</w:t>
      </w:r>
      <w:r>
        <w:rPr>
          <w:rFonts w:hint="eastAsia" w:ascii="仿宋_GB2312" w:hAnsi="仿宋_GB2312" w:eastAsia="仿宋_GB2312" w:cs="仿宋_GB2312"/>
          <w:b/>
          <w:sz w:val="32"/>
          <w:szCs w:val="32"/>
          <w:u w:val="none"/>
          <w:lang w:eastAsia="zh-CN"/>
        </w:rPr>
        <w:t>推进“三大工程”建设和房地产高质量发展。</w:t>
      </w:r>
      <w:r>
        <w:rPr>
          <w:rFonts w:hint="eastAsia" w:ascii="仿宋_GB2312" w:hAnsi="仿宋_GB2312" w:eastAsia="仿宋_GB2312" w:cs="仿宋_GB2312"/>
          <w:b w:val="0"/>
          <w:bCs/>
          <w:sz w:val="32"/>
          <w:szCs w:val="32"/>
          <w:u w:val="none"/>
          <w:lang w:eastAsia="zh-CN"/>
        </w:rPr>
        <w:t>加快推进“三大工程”建设；加快构建房地产发展新模式。</w:t>
      </w:r>
    </w:p>
    <w:p w14:paraId="009966FB">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Cs/>
          <w:sz w:val="32"/>
          <w:szCs w:val="32"/>
          <w:lang w:eastAsia="zh-CN"/>
        </w:rPr>
      </w:pPr>
      <w:r>
        <w:rPr>
          <w:rFonts w:hint="eastAsia" w:ascii="楷体" w:hAnsi="楷体" w:eastAsia="楷体" w:cs="楷体"/>
          <w:bCs/>
          <w:sz w:val="32"/>
          <w:szCs w:val="32"/>
          <w:lang w:eastAsia="zh-CN"/>
        </w:rPr>
        <w:t>（</w:t>
      </w:r>
      <w:r>
        <w:rPr>
          <w:rFonts w:hint="eastAsia" w:ascii="楷体" w:hAnsi="楷体" w:eastAsia="楷体" w:cs="楷体"/>
          <w:bCs/>
          <w:sz w:val="32"/>
          <w:szCs w:val="32"/>
          <w:lang w:val="en-US" w:eastAsia="zh-CN"/>
        </w:rPr>
        <w:t>三</w:t>
      </w:r>
      <w:r>
        <w:rPr>
          <w:rFonts w:hint="eastAsia" w:ascii="楷体" w:hAnsi="楷体" w:eastAsia="楷体" w:cs="楷体"/>
          <w:bCs/>
          <w:sz w:val="32"/>
          <w:szCs w:val="32"/>
          <w:lang w:eastAsia="zh-CN"/>
        </w:rPr>
        <w:t>）组织实施</w:t>
      </w:r>
    </w:p>
    <w:p w14:paraId="25957B76">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lang w:eastAsia="zh-CN"/>
        </w:rPr>
        <w:t>成立</w:t>
      </w:r>
      <w:bookmarkStart w:id="1" w:name="OLE_LINK23"/>
      <w:r>
        <w:rPr>
          <w:rFonts w:hint="eastAsia" w:ascii="仿宋_GB2312" w:hAnsi="仿宋_GB2312" w:eastAsia="仿宋_GB2312" w:cs="仿宋_GB2312"/>
          <w:sz w:val="32"/>
          <w:szCs w:val="32"/>
          <w:lang w:eastAsia="zh-CN"/>
        </w:rPr>
        <w:t>保交房</w:t>
      </w:r>
      <w:bookmarkEnd w:id="1"/>
      <w:r>
        <w:rPr>
          <w:rFonts w:hint="eastAsia" w:ascii="仿宋_GB2312" w:hAnsi="仿宋_GB2312" w:eastAsia="仿宋_GB2312" w:cs="仿宋_GB2312"/>
          <w:sz w:val="32"/>
          <w:szCs w:val="32"/>
          <w:lang w:eastAsia="zh-CN"/>
        </w:rPr>
        <w:t>工作专班，由市长任组长，相关副市长任副组长，市住建局、自然资源和规划局、住房保障服务中心、国家金融监督管理总局长垣监管支局主要负责同志为召集人，</w:t>
      </w:r>
      <w:r>
        <w:rPr>
          <w:rFonts w:hint="eastAsia" w:ascii="仿宋_GB2312" w:hAnsi="仿宋_GB2312" w:eastAsia="仿宋_GB2312" w:cs="仿宋_GB2312"/>
          <w:sz w:val="32"/>
          <w:szCs w:val="32"/>
          <w:lang w:val="en-US" w:eastAsia="zh-CN"/>
        </w:rPr>
        <w:t>14个相关单位任成员的工作专班，</w:t>
      </w:r>
      <w:r>
        <w:rPr>
          <w:rFonts w:hint="eastAsia" w:ascii="宋体" w:hAnsi="宋体" w:eastAsia="仿宋_GB2312" w:cs="仿宋_GB2312"/>
          <w:sz w:val="32"/>
          <w:szCs w:val="32"/>
          <w:lang w:eastAsia="zh-CN"/>
        </w:rPr>
        <w:t>工作专班下设办公室，负责专班日常工作。</w:t>
      </w:r>
      <w:r>
        <w:rPr>
          <w:rFonts w:hint="eastAsia" w:ascii="仿宋_GB2312" w:hAnsi="仿宋_GB2312" w:eastAsia="仿宋_GB2312" w:cs="仿宋_GB2312"/>
          <w:sz w:val="32"/>
          <w:szCs w:val="32"/>
          <w:u w:val="none"/>
          <w:lang w:eastAsia="zh-CN"/>
        </w:rPr>
        <w:t>抽调</w:t>
      </w:r>
      <w:r>
        <w:rPr>
          <w:rFonts w:hint="eastAsia" w:ascii="仿宋_GB2312" w:hAnsi="仿宋_GB2312" w:eastAsia="仿宋_GB2312" w:cs="仿宋_GB2312"/>
          <w:sz w:val="32"/>
          <w:szCs w:val="32"/>
          <w:u w:val="none"/>
          <w:lang w:val="en-US" w:eastAsia="zh-CN"/>
        </w:rPr>
        <w:t>成员单位</w:t>
      </w:r>
      <w:r>
        <w:rPr>
          <w:rFonts w:hint="eastAsia" w:ascii="仿宋_GB2312" w:hAnsi="仿宋_GB2312" w:eastAsia="仿宋_GB2312" w:cs="仿宋_GB2312"/>
          <w:sz w:val="32"/>
          <w:szCs w:val="32"/>
          <w:u w:val="none"/>
          <w:lang w:eastAsia="zh-CN"/>
        </w:rPr>
        <w:t>业务骨干集中办公。</w:t>
      </w:r>
    </w:p>
    <w:p w14:paraId="39D15D27">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工作专班下设3个工作小组，一是由住建局、国家金融监督管理总局长垣监管支局牵头组建商品住房项目保交房攻坚战工作小组，负责商品住房项目保交房攻坚战、房地产融资协调工作；二是由住房保障服务中心牵头组建收购已建成存量商品房用作保障性住房工作小组；三是由自然资源和规划局牵头组建闲置存量土地处置</w:t>
      </w:r>
      <w:r>
        <w:rPr>
          <w:rFonts w:hint="eastAsia" w:ascii="仿宋_GB2312" w:hAnsi="仿宋_GB2312" w:eastAsia="仿宋_GB2312" w:cs="仿宋_GB2312"/>
          <w:sz w:val="32"/>
          <w:szCs w:val="32"/>
          <w:u w:val="none"/>
          <w:lang w:val="en-US" w:eastAsia="zh-CN"/>
        </w:rPr>
        <w:t>及不动产办证</w:t>
      </w:r>
      <w:r>
        <w:rPr>
          <w:rFonts w:hint="eastAsia" w:ascii="仿宋_GB2312" w:hAnsi="仿宋_GB2312" w:eastAsia="仿宋_GB2312" w:cs="仿宋_GB2312"/>
          <w:sz w:val="32"/>
          <w:szCs w:val="32"/>
          <w:u w:val="none"/>
          <w:lang w:eastAsia="zh-CN"/>
        </w:rPr>
        <w:t>工作小组。各工作小组负责向工作专班汇报工作进展情况。</w:t>
      </w:r>
    </w:p>
    <w:p w14:paraId="540E82A7">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五、其他</w:t>
      </w:r>
    </w:p>
    <w:p w14:paraId="05C89FB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1、解读机关：长垣市住房和城乡建设局</w:t>
      </w:r>
    </w:p>
    <w:p w14:paraId="5195BBC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2、联系电话：0373-8881259</w:t>
      </w:r>
    </w:p>
    <w:p w14:paraId="7F8AC6E5">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kZWEzOTc4Zjc1YmQ3MzE5YTQ0YjU3OTIzZDhkMzcifQ=="/>
  </w:docVars>
  <w:rsids>
    <w:rsidRoot w:val="325869C1"/>
    <w:rsid w:val="32586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pPr>
    <w:rPr>
      <w:rFonts w:cs="Times New Roman"/>
      <w:sz w:val="24"/>
      <w:lang w:eastAsia="zh-CN"/>
    </w:rPr>
  </w:style>
  <w:style w:type="paragraph" w:customStyle="1" w:styleId="5">
    <w:name w:val="p0"/>
    <w:basedOn w:val="1"/>
    <w:uiPriority w:val="0"/>
    <w:pPr>
      <w:widowControl/>
    </w:pPr>
    <w:rPr>
      <w:kern w:val="0"/>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2024-10-12T00:04:00Z</dcterms:created>
  <dc:creator>-   杜金钊</dc:creator>
  <cp:lastModifiedBy>-   杜金钊</cp:lastModifiedBy>
  <dcterms:modified xsi:type="dcterms:W3CDTF">2024-10-12T00:13:15Z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8F528B107257488289B0A474FD7768F8_11</vt:lpwstr>
  </property>
</Properties>
</file>