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60" w:lineRule="exact"/>
        <w:ind w:left="0" w:leftChars="0" w:right="0"/>
        <w:jc w:val="center"/>
        <w:textAlignment w:val="auto"/>
        <w:rPr>
          <w:rFonts w:ascii="Times New Roman" w:hAnsi="Times New Roman" w:eastAsia="方正小标宋简体"/>
          <w:sz w:val="44"/>
          <w:szCs w:val="44"/>
          <w:lang w:val="en-US" w:eastAsia="zh-CN"/>
        </w:rPr>
      </w:pPr>
      <w:r>
        <w:rPr>
          <w:rFonts w:ascii="Times New Roman" w:hAnsi="Times New Roman" w:eastAsia="方正小标宋简体"/>
          <w:sz w:val="44"/>
          <w:szCs w:val="44"/>
          <w:lang w:val="en-US" w:eastAsia="zh-CN"/>
        </w:rPr>
        <w:t>关于《</w:t>
      </w:r>
      <w:r>
        <w:rPr>
          <w:rFonts w:hint="eastAsia" w:ascii="方正小标宋简体" w:hAnsi="方正小标宋简体" w:eastAsia="方正小标宋简体" w:cs="方正小标宋简体"/>
          <w:kern w:val="0"/>
          <w:sz w:val="44"/>
          <w:szCs w:val="44"/>
        </w:rPr>
        <w:t>长垣市商品房预售资金监管办法</w:t>
      </w:r>
      <w:r>
        <w:rPr>
          <w:rFonts w:hint="eastAsia" w:ascii="方正小标宋简体" w:hAnsi="方正小标宋简体" w:eastAsia="方正小标宋简体" w:cs="方正小标宋简体"/>
          <w:kern w:val="0"/>
          <w:sz w:val="44"/>
          <w:szCs w:val="44"/>
          <w:lang w:val="en-US" w:eastAsia="zh-CN"/>
        </w:rPr>
        <w:t>（试行）（征求意见稿）</w:t>
      </w:r>
      <w:r>
        <w:rPr>
          <w:rFonts w:ascii="Times New Roman" w:hAnsi="Times New Roman" w:eastAsia="方正小标宋简体"/>
          <w:sz w:val="44"/>
          <w:szCs w:val="44"/>
          <w:lang w:val="en-US" w:eastAsia="zh-CN"/>
        </w:rPr>
        <w:t>》政策解读</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一、制定背景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根据《中华人民共和国城市房地产管理法》、《城市商品房预售管理办法》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住房和城乡建设部 人民银行 银保监会关于规范商品房预售资金监管的意见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建房〔2022〕16号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等法律法规规定,</w:t>
      </w:r>
      <w:r>
        <w:rPr>
          <w:rFonts w:hint="eastAsia" w:ascii="仿宋_GB2312" w:hAnsi="仿宋_GB2312" w:eastAsia="仿宋_GB2312" w:cs="仿宋_GB2312"/>
          <w:sz w:val="32"/>
          <w:szCs w:val="32"/>
          <w:lang w:val="en-US" w:eastAsia="zh-CN"/>
        </w:rPr>
        <w:t>为更好</w:t>
      </w:r>
      <w:r>
        <w:rPr>
          <w:rFonts w:hint="eastAsia" w:ascii="仿宋_GB2312" w:hAnsi="仿宋_GB2312" w:eastAsia="仿宋_GB2312" w:cs="仿宋_GB2312"/>
          <w:sz w:val="32"/>
          <w:szCs w:val="32"/>
        </w:rPr>
        <w:t>预防和降低房地产交易市场风险,保障商品房交易双方当事人的合法权益,促进我市房地产市场健康有序发展。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二、制定目的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为加强商品房预售资金的监督管理,</w:t>
      </w:r>
      <w:r>
        <w:rPr>
          <w:rFonts w:hint="eastAsia" w:ascii="仿宋_GB2312" w:hAnsi="仿宋_GB2312" w:eastAsia="仿宋_GB2312" w:cs="仿宋_GB2312"/>
          <w:sz w:val="32"/>
          <w:szCs w:val="32"/>
          <w:lang w:val="en-US" w:eastAsia="zh-CN"/>
        </w:rPr>
        <w:t>落实做好商品房预售资金监管相关要求</w:t>
      </w:r>
      <w:r>
        <w:rPr>
          <w:rFonts w:hint="eastAsia" w:ascii="仿宋_GB2312" w:hAnsi="仿宋_GB2312" w:eastAsia="仿宋_GB2312" w:cs="仿宋_GB2312"/>
          <w:sz w:val="32"/>
          <w:szCs w:val="32"/>
        </w:rPr>
        <w:t>,预防和降低房地产交易市场风险,保障商品房交易双方当事人的合法权益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促进我市房地产市场健康有序发展,结合我市实际,制定本办法。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三、主要制定依据</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《中华人民共和国城市房地产管理法》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《城市商品房预售管理办法》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住房和城乡建设部 人民银行 银保监会关于规范商品房预售资金监管的意见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建房〔2022〕16号</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bookmarkStart w:id="0" w:name="_GoBack"/>
      <w:bookmarkEnd w:id="0"/>
      <w:r>
        <w:rPr>
          <w:rFonts w:hint="eastAsia" w:ascii="黑体" w:hAnsi="黑体" w:eastAsia="黑体" w:cs="黑体"/>
          <w:sz w:val="32"/>
          <w:szCs w:val="32"/>
          <w:lang w:val="en-US" w:eastAsia="zh-CN"/>
        </w:rPr>
        <w:t>四、主要内容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《办法》共</w:t>
      </w:r>
      <w:r>
        <w:rPr>
          <w:rFonts w:hint="eastAsia" w:ascii="仿宋_GB2312" w:hAnsi="仿宋_GB2312" w:eastAsia="仿宋_GB2312" w:cs="仿宋_GB2312"/>
          <w:sz w:val="32"/>
          <w:szCs w:val="32"/>
          <w:lang w:val="en-US" w:eastAsia="zh-CN"/>
        </w:rPr>
        <w:t>三十</w:t>
      </w:r>
      <w:r>
        <w:rPr>
          <w:rFonts w:hint="eastAsia" w:ascii="仿宋_GB2312" w:hAnsi="仿宋_GB2312" w:eastAsia="仿宋_GB2312" w:cs="仿宋_GB2312"/>
          <w:sz w:val="32"/>
          <w:szCs w:val="32"/>
        </w:rPr>
        <w:t>条</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对商品房预售资金监管组织结构、监管形式、资金拨付流程等作出了详细规定，现将主要情况说明如下：</w:t>
      </w:r>
    </w:p>
    <w:p>
      <w:pPr>
        <w:keepNext w:val="0"/>
        <w:keepLines w:val="0"/>
        <w:pageBreakBefore w:val="0"/>
        <w:widowControl w:val="0"/>
        <w:kinsoku/>
        <w:wordWrap/>
        <w:overflowPunct/>
        <w:topLinePunct w:val="0"/>
        <w:autoSpaceDE/>
        <w:autoSpaceDN/>
        <w:bidi w:val="0"/>
        <w:adjustRightInd/>
        <w:snapToGrid/>
        <w:spacing w:line="560" w:lineRule="exact"/>
        <w:ind w:firstLine="568" w:firstLineChars="177"/>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（一）组织机构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为能更好的协调工作，保证预售资金监管快捷、高效、安全，</w:t>
      </w:r>
      <w:r>
        <w:rPr>
          <w:rFonts w:hint="eastAsia" w:ascii="仿宋_GB2312" w:hAnsi="仿宋_GB2312" w:eastAsia="仿宋_GB2312" w:cs="仿宋_GB2312"/>
          <w:sz w:val="32"/>
          <w:szCs w:val="32"/>
          <w:lang w:val="en-US" w:eastAsia="zh-CN"/>
        </w:rPr>
        <w:t>由托管三方机构</w:t>
      </w:r>
      <w:r>
        <w:rPr>
          <w:rFonts w:hint="eastAsia" w:ascii="仿宋_GB2312" w:hAnsi="仿宋_GB2312" w:eastAsia="仿宋_GB2312" w:cs="仿宋_GB2312"/>
          <w:sz w:val="32"/>
          <w:szCs w:val="32"/>
        </w:rPr>
        <w:t>统一协调处理我市预售资金监管工作。住建局</w:t>
      </w:r>
      <w:r>
        <w:rPr>
          <w:rFonts w:hint="eastAsia" w:ascii="仿宋_GB2312" w:hAnsi="仿宋_GB2312" w:eastAsia="仿宋_GB2312" w:cs="仿宋_GB2312"/>
          <w:sz w:val="32"/>
          <w:szCs w:val="32"/>
          <w:lang w:val="en-US" w:eastAsia="zh-CN"/>
        </w:rPr>
        <w:t>为预售资金监管工作的主管部门，由确认的三方托管机构</w:t>
      </w:r>
      <w:r>
        <w:rPr>
          <w:rFonts w:hint="eastAsia" w:ascii="仿宋_GB2312" w:hAnsi="仿宋_GB2312" w:eastAsia="仿宋_GB2312" w:cs="仿宋_GB2312"/>
          <w:sz w:val="32"/>
          <w:szCs w:val="32"/>
        </w:rPr>
        <w:t>负责预售资金监管日常工作。监管账户设在</w:t>
      </w:r>
      <w:r>
        <w:rPr>
          <w:rFonts w:hint="eastAsia" w:ascii="仿宋_GB2312" w:hAnsi="仿宋_GB2312" w:eastAsia="仿宋_GB2312" w:cs="仿宋_GB2312"/>
          <w:sz w:val="32"/>
          <w:szCs w:val="32"/>
          <w:lang w:val="en-US" w:eastAsia="zh-CN"/>
        </w:rPr>
        <w:t>三方托管机构</w:t>
      </w:r>
      <w:r>
        <w:rPr>
          <w:rFonts w:hint="eastAsia" w:ascii="仿宋_GB2312" w:hAnsi="仿宋_GB2312" w:eastAsia="仿宋_GB2312" w:cs="仿宋_GB2312"/>
          <w:sz w:val="32"/>
          <w:szCs w:val="32"/>
        </w:rPr>
        <w:t>名下。</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176"/>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（二）监管账户设立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新监管账户</w:t>
      </w:r>
      <w:r>
        <w:rPr>
          <w:rFonts w:hint="eastAsia" w:ascii="仿宋_GB2312" w:hAnsi="仿宋_GB2312" w:eastAsia="仿宋_GB2312" w:cs="仿宋_GB2312"/>
          <w:sz w:val="32"/>
          <w:szCs w:val="32"/>
        </w:rPr>
        <w:t>由</w:t>
      </w:r>
      <w:r>
        <w:rPr>
          <w:rFonts w:hint="eastAsia" w:ascii="仿宋_GB2312" w:hAnsi="仿宋_GB2312" w:eastAsia="仿宋_GB2312" w:cs="仿宋_GB2312"/>
          <w:sz w:val="32"/>
          <w:szCs w:val="32"/>
          <w:lang w:val="en-US" w:eastAsia="zh-CN"/>
        </w:rPr>
        <w:t>确认的三方托管机构</w:t>
      </w:r>
      <w:r>
        <w:rPr>
          <w:rFonts w:hint="eastAsia" w:ascii="仿宋_GB2312" w:hAnsi="仿宋_GB2312" w:eastAsia="仿宋_GB2312" w:cs="仿宋_GB2312"/>
          <w:sz w:val="32"/>
          <w:szCs w:val="32"/>
        </w:rPr>
        <w:t>在具备监管资格的银行开立“商品房预售资金监管专用账户”， 房地产开发企业在申请商品房预售许可证前，在监管账户内开立“商品房预售资金专项账户”。并与</w:t>
      </w:r>
      <w:r>
        <w:rPr>
          <w:rFonts w:hint="eastAsia" w:ascii="仿宋_GB2312" w:hAnsi="仿宋_GB2312" w:eastAsia="仿宋_GB2312" w:cs="仿宋_GB2312"/>
          <w:sz w:val="32"/>
          <w:szCs w:val="32"/>
          <w:lang w:val="en-US" w:eastAsia="zh-CN"/>
        </w:rPr>
        <w:t>主管部门、托管</w:t>
      </w:r>
      <w:r>
        <w:rPr>
          <w:rFonts w:hint="eastAsia" w:ascii="仿宋_GB2312" w:hAnsi="仿宋_GB2312" w:eastAsia="仿宋_GB2312" w:cs="仿宋_GB2312"/>
          <w:sz w:val="32"/>
          <w:szCs w:val="32"/>
        </w:rPr>
        <w:t>机构、承办银行签订《长垣市商品房预售资金监管协议》。</w:t>
      </w:r>
    </w:p>
    <w:p>
      <w:pPr>
        <w:keepNext w:val="0"/>
        <w:keepLines w:val="0"/>
        <w:pageBreakBefore w:val="0"/>
        <w:widowControl w:val="0"/>
        <w:kinsoku/>
        <w:wordWrap/>
        <w:overflowPunct/>
        <w:topLinePunct w:val="0"/>
        <w:autoSpaceDE/>
        <w:autoSpaceDN/>
        <w:bidi w:val="0"/>
        <w:adjustRightInd/>
        <w:snapToGrid/>
        <w:spacing w:line="560" w:lineRule="exact"/>
        <w:ind w:firstLine="706" w:firstLineChars="22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（三）监管方式</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额监管：新建商品房预售资金实行全额监管，购房人按合同约定支付的全部房价款全额进入监管帐户，包括首付款（定金、诚意金）、预售商品房按揭贷款、分期付款等各种售房收入。监管资金分为重点资金和一般资金两种。</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重点资金：按照工程建设资金确定的重点监管资金，只能用于项目的工程建设。主要由工程建设费用(含建筑施工、设备安装、材料购置、配套建设等费用)和不可预见费(工程建设费用的20%)组成，重点监管资金标准一般确定为商品房初始备案价格的40%。</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一般资金：重点监管资金以外的售房销售收入，可以随时支取。</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监管期限：资金监管自核发商品房预售许可证开始，至办理不动产首次登记后止。</w:t>
      </w:r>
    </w:p>
    <w:p>
      <w:pPr>
        <w:keepNext w:val="0"/>
        <w:keepLines w:val="0"/>
        <w:pageBreakBefore w:val="0"/>
        <w:widowControl w:val="0"/>
        <w:kinsoku/>
        <w:wordWrap/>
        <w:overflowPunct/>
        <w:topLinePunct w:val="0"/>
        <w:autoSpaceDE/>
        <w:autoSpaceDN/>
        <w:bidi w:val="0"/>
        <w:adjustRightInd/>
        <w:snapToGrid/>
        <w:spacing w:line="560" w:lineRule="exact"/>
        <w:ind w:firstLine="706" w:firstLineChars="22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（四）预售资金监管协议</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房地产开发企业在申请商品房预售许可证前，应同</w:t>
      </w:r>
      <w:r>
        <w:rPr>
          <w:rFonts w:hint="eastAsia" w:ascii="仿宋_GB2312" w:hAnsi="仿宋_GB2312" w:eastAsia="仿宋_GB2312" w:cs="仿宋_GB2312"/>
          <w:sz w:val="32"/>
          <w:szCs w:val="32"/>
          <w:lang w:val="en-US" w:eastAsia="zh-CN"/>
        </w:rPr>
        <w:t>主管部门、托管机构、</w:t>
      </w:r>
      <w:r>
        <w:rPr>
          <w:rFonts w:hint="eastAsia" w:ascii="仿宋_GB2312" w:hAnsi="仿宋_GB2312" w:eastAsia="仿宋_GB2312" w:cs="仿宋_GB2312"/>
          <w:sz w:val="32"/>
          <w:szCs w:val="32"/>
        </w:rPr>
        <w:t>监管银行签订《长垣市商品房预售资金监管协议》，并及时将《监管协议》报</w:t>
      </w:r>
      <w:r>
        <w:rPr>
          <w:rFonts w:hint="eastAsia" w:ascii="仿宋_GB2312" w:hAnsi="仿宋_GB2312" w:eastAsia="仿宋_GB2312" w:cs="仿宋_GB2312"/>
          <w:sz w:val="32"/>
          <w:szCs w:val="32"/>
          <w:lang w:val="en-US" w:eastAsia="zh-CN"/>
        </w:rPr>
        <w:t>主管部门</w:t>
      </w:r>
      <w:r>
        <w:rPr>
          <w:rFonts w:hint="eastAsia" w:ascii="仿宋_GB2312" w:hAnsi="仿宋_GB2312" w:eastAsia="仿宋_GB2312" w:cs="仿宋_GB2312"/>
          <w:sz w:val="32"/>
          <w:szCs w:val="32"/>
        </w:rPr>
        <w:t>备案。</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监管账户设立后,开发企业因特殊原因需要变更监管账户的,应当与原监管银行协商一致后到监管部门申请备案,经</w:t>
      </w:r>
      <w:r>
        <w:rPr>
          <w:rFonts w:hint="eastAsia" w:ascii="仿宋_GB2312" w:hAnsi="仿宋_GB2312" w:eastAsia="仿宋_GB2312" w:cs="仿宋_GB2312"/>
          <w:sz w:val="32"/>
          <w:szCs w:val="32"/>
          <w:lang w:val="en-US" w:eastAsia="zh-CN"/>
        </w:rPr>
        <w:t>主管部门同意</w:t>
      </w:r>
      <w:r>
        <w:rPr>
          <w:rFonts w:hint="eastAsia" w:ascii="仿宋_GB2312" w:hAnsi="仿宋_GB2312" w:eastAsia="仿宋_GB2312" w:cs="仿宋_GB2312"/>
          <w:sz w:val="32"/>
          <w:szCs w:val="32"/>
        </w:rPr>
        <w:t>后,重新签订监管协议。</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商品房预售时，房地产开发企业应与购房人、托管机构签订预售资金托管三方协议，并将三方协议作为商品房买卖合同的附件之一。三方协议中应明确托管资金归属、付款方式、出险情形应急处置等事宜。</w:t>
      </w:r>
    </w:p>
    <w:p>
      <w:pPr>
        <w:keepNext w:val="0"/>
        <w:keepLines w:val="0"/>
        <w:pageBreakBefore w:val="0"/>
        <w:widowControl w:val="0"/>
        <w:kinsoku/>
        <w:wordWrap/>
        <w:overflowPunct/>
        <w:topLinePunct w:val="0"/>
        <w:autoSpaceDE/>
        <w:autoSpaceDN/>
        <w:bidi w:val="0"/>
        <w:adjustRightInd/>
        <w:snapToGrid/>
        <w:spacing w:line="560" w:lineRule="exact"/>
        <w:ind w:firstLine="706" w:firstLineChars="22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（五）预售资金缴存管理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商品房预售资金必须全部存入专项账户。开发企业不得在专项账户以外的其他资金账户收存商品房预售资金。如果开发企业有开发贷款项目的,专项账户原则上设置在开发贷款发放银行。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开发企业与按揭贷款银行签订按揭贷款合作协议时,应当明确约定按揭贷款必须直接划入项目专项账户。开发企业应当将按揭贷款合作协议和预售资金监管协议上传至预售资金监管系统报备。</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监管银行、专项账户等信息开发企业必须在售楼部进行公示，同时写入《商品房买卖合同》。申请购房贷款的,贷款银行或住房公积金管理机构应将购房贷款直接划入相应的专项账户。</w:t>
      </w:r>
    </w:p>
    <w:p>
      <w:pPr>
        <w:keepNext w:val="0"/>
        <w:keepLines w:val="0"/>
        <w:pageBreakBefore w:val="0"/>
        <w:widowControl w:val="0"/>
        <w:kinsoku/>
        <w:wordWrap/>
        <w:overflowPunct/>
        <w:topLinePunct w:val="0"/>
        <w:autoSpaceDE/>
        <w:autoSpaceDN/>
        <w:bidi w:val="0"/>
        <w:adjustRightInd/>
        <w:snapToGrid/>
        <w:spacing w:line="560" w:lineRule="exact"/>
        <w:ind w:firstLine="706" w:firstLineChars="22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（六）预售资金使用管理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主要说明一下重点资金的使用。</w:t>
      </w:r>
      <w:r>
        <w:rPr>
          <w:rFonts w:hint="eastAsia" w:ascii="仿宋_GB2312" w:hAnsi="仿宋_GB2312" w:eastAsia="仿宋_GB2312" w:cs="仿宋_GB2312"/>
          <w:sz w:val="32"/>
          <w:szCs w:val="32"/>
          <w:lang w:val="en-US" w:eastAsia="zh-CN"/>
        </w:rPr>
        <w:t>重点资金使用</w:t>
      </w:r>
      <w:r>
        <w:rPr>
          <w:rFonts w:hint="eastAsia" w:ascii="仿宋_GB2312" w:hAnsi="仿宋_GB2312" w:eastAsia="仿宋_GB2312" w:cs="仿宋_GB2312"/>
          <w:sz w:val="32"/>
          <w:szCs w:val="32"/>
        </w:rPr>
        <w:t>应当按照建设工程形象部位完成情况或建设工程施工合同约定的付款节点制定。资金使用节点一般按按照取得预售证、主体结构一半、主体结构封顶、</w:t>
      </w:r>
      <w:r>
        <w:rPr>
          <w:rFonts w:hint="eastAsia" w:ascii="仿宋_GB2312" w:hAnsi="仿宋_GB2312" w:eastAsia="仿宋_GB2312" w:cs="仿宋_GB2312"/>
          <w:sz w:val="32"/>
          <w:szCs w:val="32"/>
          <w:lang w:val="en-US" w:eastAsia="zh-CN"/>
        </w:rPr>
        <w:t>主体工程验收、</w:t>
      </w:r>
      <w:r>
        <w:rPr>
          <w:rFonts w:hint="eastAsia" w:ascii="仿宋_GB2312" w:hAnsi="仿宋_GB2312" w:eastAsia="仿宋_GB2312" w:cs="仿宋_GB2312"/>
          <w:sz w:val="32"/>
          <w:szCs w:val="32"/>
        </w:rPr>
        <w:t>外立面完工、竣工验收备案</w:t>
      </w:r>
      <w:r>
        <w:rPr>
          <w:rFonts w:hint="eastAsia" w:ascii="仿宋_GB2312" w:hAnsi="仿宋_GB2312" w:eastAsia="仿宋_GB2312" w:cs="仿宋_GB2312"/>
          <w:sz w:val="32"/>
          <w:szCs w:val="32"/>
          <w:lang w:val="en-US" w:eastAsia="zh-CN"/>
        </w:rPr>
        <w:t>等节点</w:t>
      </w:r>
      <w:r>
        <w:rPr>
          <w:rFonts w:hint="eastAsia" w:ascii="仿宋_GB2312" w:hAnsi="仿宋_GB2312" w:eastAsia="仿宋_GB2312" w:cs="仿宋_GB2312"/>
          <w:sz w:val="32"/>
          <w:szCs w:val="32"/>
        </w:rPr>
        <w:t>设置。开发企业办理不动产首次登记前,专项账户内的资金不得低于重点监管资金总额的5%。</w:t>
      </w:r>
    </w:p>
    <w:p>
      <w:pPr>
        <w:keepNext w:val="0"/>
        <w:keepLines w:val="0"/>
        <w:pageBreakBefore w:val="0"/>
        <w:widowControl w:val="0"/>
        <w:kinsoku/>
        <w:wordWrap/>
        <w:overflowPunct/>
        <w:topLinePunct w:val="0"/>
        <w:autoSpaceDE/>
        <w:autoSpaceDN/>
        <w:bidi w:val="0"/>
        <w:adjustRightInd/>
        <w:snapToGrid/>
        <w:spacing w:line="560" w:lineRule="exact"/>
        <w:ind w:firstLine="706" w:firstLineChars="22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（七）法律责任</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若开发企业有不按规定将商品房预售资金存入监管专用账户、以收取其他款项为名变相逃避监管、提供虚假资料申请拨付预售资金、未将商品房预售资金用于该项目工程建设等行为，将停止拨付新建商品房预售资金,并</w:t>
      </w:r>
      <w:r>
        <w:rPr>
          <w:rFonts w:hint="eastAsia" w:ascii="仿宋_GB2312" w:hAnsi="仿宋_GB2312" w:eastAsia="仿宋_GB2312" w:cs="仿宋_GB2312"/>
          <w:sz w:val="32"/>
          <w:szCs w:val="32"/>
          <w:lang w:val="en-US" w:eastAsia="zh-CN"/>
        </w:rPr>
        <w:t>暂停</w:t>
      </w:r>
      <w:r>
        <w:rPr>
          <w:rFonts w:hint="eastAsia" w:ascii="仿宋_GB2312" w:hAnsi="仿宋_GB2312" w:eastAsia="仿宋_GB2312" w:cs="仿宋_GB2312"/>
          <w:sz w:val="32"/>
          <w:szCs w:val="32"/>
        </w:rPr>
        <w:t>该项目商品房预售合同备案。</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若监管银行未及时拨付商品房预售资金。由其主管部门责令改正并按相关规定进行处理;未按照规定受理、审核开发企业使用商品房预售资金的申请资料,超前、超额支付商品房预售资金的,除承担相应责任外,三年内不得承担商品房预售资金的监管业务。</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建设项目的施工单位、监理单位提供虚假证明材料,造成开发企业超前、超额支取商品房预售资金的,应承担相应的法律责任。</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托管机构、主管部门</w:t>
      </w:r>
      <w:r>
        <w:rPr>
          <w:rFonts w:hint="eastAsia" w:ascii="仿宋_GB2312" w:hAnsi="仿宋_GB2312" w:eastAsia="仿宋_GB2312" w:cs="仿宋_GB2312"/>
          <w:sz w:val="32"/>
          <w:szCs w:val="32"/>
        </w:rPr>
        <w:t>工作人员在商品房预售资金监管工作中玩忽职守、滥用职权、徇私舞弊的,依法依规追究责任。</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五、其他</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1、解读机关：长垣市住房和城乡建设局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2、联系电话：0373-8881259</w:t>
      </w:r>
    </w:p>
    <w:p/>
    <w:sectPr>
      <w:footerReference r:id="rId3" w:type="default"/>
      <w:pgSz w:w="11906" w:h="16838"/>
      <w:pgMar w:top="2041" w:right="1531" w:bottom="204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ItvYn3AIAACQGAAAOAAAAZHJz&#10;L2Uyb0RvYy54bWytVM1u1DAQviPxDpbvaZJtus1GzVbbTYOQKlqpIM5ex9lYOLZle38K4gpvwIkL&#10;d56rz8E42ey2BaFKsIfs2DOeme+bn7PzbSvQmhnLlcxxfBRhxCRVFZfLHL97WwYpRtYRWRGhJMvx&#10;HbP4fPryxdlGZ2ykGiUqZhA4kTbb6Bw3zuksDC1tWEvskdJMgrJWpiUOjmYZVoZswHsrwlEUjcON&#10;MpU2ijJr4bbolXjn0TzHoaprTlmh6Kpl0vVeDRPEASTbcG3xtMu2rhl113VtmUMix4DUdV8IAvLC&#10;f8PpGcmWhuiG010K5DkpPMHUEi4h6N5VQRxBK8N/c9VyapRVtTuiqg17IB0jgCKOnnBz2xDNOixA&#10;tdV70u3/c0vfrG8M4hV0AkaStFDw+29f77//vP/xBcWeno22GVjdarBz2wu19aa7ewuXHvW2Nq3/&#10;BzwI9EDu3Z5ctnWI+kfpKE0jUFHQDQfwEx6ea2PdK6Za5IUcG6heRypZX1nXmw4mPppUJRcC7kkm&#10;JNrkeHx8EnUP9hpwLqQ3gCzAx07qK/NpEk0u08s0CZLR+DJIoqIIZuU8CcZlfHpSHBfzeRF/9v7i&#10;JGt4VTHp4w1dEifPq8KuU/r67vvEKsEr786nZM1yMRcGrQl0adn9PMOQ/AOz8HEanRpQPYEUj5Lo&#10;YjQJynF6GiRlchJMTqM0iOLJxWQcJZOkKB9DuuKS/TukR+w/SJpkvmB7bAtB6Ie/QvPpHKABA0Ph&#10;Qt+Hfb95yW0XW6DIiwtV3UFvGtUPt9W05BD0ilh3QwxMM/Qc7Dt3DZ9aKOgTtZMwapT5+Kd7bw/l&#10;BS1GG9gOOZawDDESryUMHzh0g2AGYTEIctXOFRQSBgpy6UR4YJwYxNqo9j0swZmPASoiKUTKsRvE&#10;ues3FCxRymazzmilDV82/QNYHZq4K3mrqQ/TtZCerRzMQzcmB1aASn+A5dGRult0fjs9PHdWh+U+&#10;/Q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b&#10;BQAAW0NvbnRlbnRfVHlwZXNdLnhtbFBLAQIUABQAAAAIAIdO4kCKFGY80QAAAJQBAAALAAAAAAAA&#10;AAEAIAAAAGEEAABfcmVscy8ucmVsc1BLAQIUABQAAAAIAIdO4kCzSVju0AAAAAUBAAAPAAAAAAAA&#10;AAEAIAAAADgAAABkcnMvZG93bnJldi54bWxQSwECFAAUAAAACACHTuJASLb2J9wCAAAkBgAADgAA&#10;AAAAAAABACAAAAA1AQAAZHJzL2Uyb0RvYy54bWxQSwECFAAKAAAAAACHTuJAAAAAAAAAAAAAAAAA&#10;BAAAAAAAAAAAABAAAAAWAAAAZHJzL1BLAQIUAAoAAAAAAIdO4kAAAAAAAAAAAAAAAAAGAAAAAAAA&#10;AAAAEAAAAD0EAABfcmVscy9QSwUGAAAAAAYABgBZAQAAgwY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A0ZTA5Y2QxNzQzMTkzODMxNDJjOWU3N2I5ZDFjOTAifQ=="/>
  </w:docVars>
  <w:rsids>
    <w:rsidRoot w:val="0C2113EF"/>
    <w:rsid w:val="0C2113EF"/>
    <w:rsid w:val="3FBE4217"/>
    <w:rsid w:val="EDFB59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1</TotalTime>
  <ScaleCrop>false</ScaleCrop>
  <LinksUpToDate>false</LinksUpToDate>
  <CharactersWithSpaces>0</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2024-09-09T16:15:00Z</dcterms:created>
  <dc:creator>一朵小红花</dc:creator>
  <cp:lastModifiedBy>administrator</cp:lastModifiedBy>
  <dcterms:modified xsi:type="dcterms:W3CDTF">2024-09-09T09:37:04Z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ICV">
    <vt:lpwstr>27BBD2A7C7F242BCB443BF05C7859FA9_11</vt:lpwstr>
  </property>
</Properties>
</file>